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360" w:lineRule="auto"/>
        <w:jc w:val="center"/>
        <w:rPr>
          <w:rFonts w:hint="default" w:ascii="宋体" w:hAnsi="宋体" w:eastAsia="宋体" w:cs="宋体"/>
          <w:color w:val="auto"/>
          <w:sz w:val="24"/>
          <w:lang w:val="en-US"/>
        </w:rPr>
      </w:pPr>
      <w:r>
        <w:rPr>
          <w:rFonts w:hint="eastAsia" w:ascii="宋体" w:hAnsi="宋体" w:eastAsia="宋体" w:cs="宋体"/>
          <w:color w:val="auto"/>
          <w:sz w:val="24"/>
        </w:rPr>
        <w:t>证券代码：002871        证券简称：伟隆股份       公告编号：2022-</w:t>
      </w:r>
      <w:r>
        <w:rPr>
          <w:rFonts w:hint="eastAsia" w:ascii="宋体" w:hAnsi="宋体" w:eastAsia="宋体" w:cs="宋体"/>
          <w:color w:val="auto"/>
          <w:sz w:val="24"/>
          <w:highlight w:val="none"/>
        </w:rPr>
        <w:t>0</w:t>
      </w:r>
      <w:r>
        <w:rPr>
          <w:rFonts w:hint="default" w:ascii="宋体" w:hAnsi="宋体" w:eastAsia="宋体" w:cs="宋体"/>
          <w:color w:val="auto"/>
          <w:sz w:val="24"/>
          <w:highlight w:val="none"/>
          <w:lang w:val="en-US"/>
        </w:rPr>
        <w:t>85</w:t>
      </w:r>
    </w:p>
    <w:p>
      <w:pPr>
        <w:pStyle w:val="6"/>
        <w:spacing w:before="0" w:after="0"/>
        <w:rPr>
          <w:rFonts w:asciiTheme="minorEastAsia" w:hAnsiTheme="minorEastAsia" w:eastAsiaTheme="minorEastAsia"/>
          <w:sz w:val="28"/>
          <w:highlight w:val="none"/>
        </w:rPr>
      </w:pPr>
      <w:r>
        <w:rPr>
          <w:rFonts w:hint="eastAsia" w:asciiTheme="minorEastAsia" w:hAnsiTheme="minorEastAsia" w:eastAsiaTheme="minorEastAsia"/>
          <w:sz w:val="28"/>
          <w:highlight w:val="none"/>
        </w:rPr>
        <w:t>青岛伟隆阀门股份有限公司</w:t>
      </w:r>
    </w:p>
    <w:p>
      <w:pPr>
        <w:pStyle w:val="6"/>
        <w:spacing w:before="0" w:afterLines="100"/>
        <w:rPr>
          <w:rFonts w:asciiTheme="minorEastAsia" w:hAnsiTheme="minorEastAsia" w:eastAsiaTheme="minorEastAsia"/>
          <w:highlight w:val="none"/>
        </w:rPr>
      </w:pPr>
      <w:r>
        <w:rPr>
          <w:rFonts w:hint="eastAsia" w:asciiTheme="minorEastAsia" w:hAnsiTheme="minorEastAsia" w:eastAsiaTheme="minorEastAsia"/>
          <w:sz w:val="28"/>
          <w:highlight w:val="none"/>
        </w:rPr>
        <w:t>关于召开</w:t>
      </w:r>
      <w:r>
        <w:rPr>
          <w:rFonts w:hint="eastAsia" w:asciiTheme="minorEastAsia" w:hAnsiTheme="minorEastAsia" w:eastAsiaTheme="minorEastAsia"/>
          <w:sz w:val="28"/>
          <w:highlight w:val="none"/>
          <w:lang w:eastAsia="zh-CN"/>
        </w:rPr>
        <w:t>2022年第四次临时</w:t>
      </w:r>
      <w:r>
        <w:rPr>
          <w:rFonts w:hint="eastAsia" w:asciiTheme="minorEastAsia" w:hAnsiTheme="minorEastAsia" w:eastAsiaTheme="minorEastAsia"/>
          <w:sz w:val="28"/>
          <w:highlight w:val="none"/>
        </w:rPr>
        <w:t>股东大会的通知</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ind w:firstLine="480" w:firstLineChars="200"/>
              <w:rPr>
                <w:rFonts w:ascii="宋体" w:hAnsi="宋体" w:eastAsia="宋体" w:cs="宋体"/>
                <w:color w:val="auto"/>
                <w:sz w:val="24"/>
              </w:rPr>
            </w:pPr>
            <w:r>
              <w:rPr>
                <w:rFonts w:hint="eastAsia" w:ascii="宋体" w:hAnsi="宋体" w:eastAsia="宋体" w:cs="宋体"/>
                <w:color w:val="auto"/>
                <w:sz w:val="24"/>
              </w:rPr>
              <w:t>本公司及董事会全体成员保证信息披露内容的真实、准确和完整，没有虚假记载、误导性陈述或重大遗漏。</w:t>
            </w:r>
          </w:p>
        </w:tc>
      </w:tr>
    </w:tbl>
    <w:p>
      <w:pPr>
        <w:rPr>
          <w:rFonts w:asciiTheme="minorEastAsia" w:hAnsiTheme="minorEastAsia"/>
          <w:highlight w:val="none"/>
        </w:rPr>
      </w:pPr>
    </w:p>
    <w:p>
      <w:pPr>
        <w:spacing w:line="360" w:lineRule="auto"/>
        <w:ind w:firstLine="482" w:firstLineChars="200"/>
        <w:rPr>
          <w:rFonts w:asciiTheme="minorEastAsia" w:hAnsiTheme="minorEastAsia"/>
          <w:b/>
          <w:sz w:val="24"/>
          <w:szCs w:val="24"/>
          <w:highlight w:val="none"/>
        </w:rPr>
      </w:pPr>
      <w:r>
        <w:rPr>
          <w:rFonts w:hint="eastAsia" w:asciiTheme="minorEastAsia" w:hAnsiTheme="minorEastAsia"/>
          <w:b/>
          <w:sz w:val="24"/>
          <w:szCs w:val="24"/>
          <w:highlight w:val="none"/>
        </w:rPr>
        <w:t>一、召开会议的基本情况</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1．股东大会届次：</w:t>
      </w:r>
      <w:r>
        <w:rPr>
          <w:rFonts w:hint="eastAsia" w:asciiTheme="minorEastAsia" w:hAnsiTheme="minorEastAsia"/>
          <w:sz w:val="24"/>
          <w:szCs w:val="24"/>
          <w:highlight w:val="none"/>
          <w:lang w:eastAsia="zh-CN"/>
        </w:rPr>
        <w:t>2022年第四次临时</w:t>
      </w:r>
      <w:r>
        <w:rPr>
          <w:rFonts w:hint="eastAsia" w:asciiTheme="minorEastAsia" w:hAnsiTheme="minorEastAsia"/>
          <w:sz w:val="24"/>
          <w:szCs w:val="24"/>
          <w:highlight w:val="none"/>
        </w:rPr>
        <w:t>股东大会</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2．会议召集人：公司第四届董事会</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3．会议召开的合法、合规性：经公司</w:t>
      </w:r>
      <w:r>
        <w:rPr>
          <w:rFonts w:hint="eastAsia" w:asciiTheme="minorEastAsia" w:hAnsiTheme="minorEastAsia"/>
          <w:sz w:val="24"/>
          <w:szCs w:val="24"/>
          <w:highlight w:val="none"/>
          <w:lang w:eastAsia="zh-CN"/>
        </w:rPr>
        <w:t>第四届董事会第十五次会</w:t>
      </w:r>
      <w:r>
        <w:rPr>
          <w:rFonts w:hint="eastAsia" w:asciiTheme="minorEastAsia" w:hAnsiTheme="minorEastAsia"/>
          <w:sz w:val="24"/>
          <w:szCs w:val="24"/>
          <w:highlight w:val="none"/>
        </w:rPr>
        <w:t>议审议通过，决定召开</w:t>
      </w:r>
      <w:r>
        <w:rPr>
          <w:rFonts w:hint="eastAsia" w:asciiTheme="minorEastAsia" w:hAnsiTheme="minorEastAsia"/>
          <w:sz w:val="24"/>
          <w:szCs w:val="24"/>
          <w:highlight w:val="none"/>
          <w:lang w:eastAsia="zh-CN"/>
        </w:rPr>
        <w:t>2022年第四次临时</w:t>
      </w:r>
      <w:r>
        <w:rPr>
          <w:rFonts w:hint="eastAsia" w:asciiTheme="minorEastAsia" w:hAnsiTheme="minorEastAsia"/>
          <w:sz w:val="24"/>
          <w:szCs w:val="24"/>
          <w:highlight w:val="none"/>
        </w:rPr>
        <w:t>股东大会，会议召集程序符合有关法律、行政法规、部门规章、规范性文件和《公司章程》的有关规定。</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4．会议召开时间：</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1）现场会议召开时间：</w:t>
      </w:r>
      <w:r>
        <w:rPr>
          <w:rFonts w:hint="eastAsia" w:asciiTheme="minorEastAsia" w:hAnsiTheme="minorEastAsia"/>
          <w:sz w:val="24"/>
          <w:szCs w:val="24"/>
          <w:highlight w:val="none"/>
          <w:lang w:eastAsia="zh-CN"/>
        </w:rPr>
        <w:t>2022年11月14日</w:t>
      </w:r>
      <w:r>
        <w:rPr>
          <w:rFonts w:hint="eastAsia" w:asciiTheme="minorEastAsia" w:hAnsiTheme="minorEastAsia"/>
          <w:sz w:val="24"/>
          <w:szCs w:val="24"/>
          <w:highlight w:val="none"/>
        </w:rPr>
        <w:t>（</w:t>
      </w:r>
      <w:r>
        <w:rPr>
          <w:rFonts w:hint="eastAsia" w:asciiTheme="minorEastAsia" w:hAnsiTheme="minorEastAsia"/>
          <w:sz w:val="24"/>
          <w:szCs w:val="24"/>
          <w:highlight w:val="none"/>
          <w:lang w:eastAsia="zh-CN"/>
        </w:rPr>
        <w:t>星期一</w:t>
      </w:r>
      <w:r>
        <w:rPr>
          <w:rFonts w:hint="eastAsia" w:asciiTheme="minorEastAsia" w:hAnsiTheme="minorEastAsia"/>
          <w:sz w:val="24"/>
          <w:szCs w:val="24"/>
          <w:highlight w:val="none"/>
        </w:rPr>
        <w:t>）下午14:00。</w:t>
      </w:r>
    </w:p>
    <w:p>
      <w:pPr>
        <w:autoSpaceDE w:val="0"/>
        <w:autoSpaceDN w:val="0"/>
        <w:spacing w:line="360" w:lineRule="auto"/>
        <w:ind w:right="-58" w:firstLine="480" w:firstLineChars="200"/>
        <w:rPr>
          <w:rFonts w:asciiTheme="minorEastAsia" w:hAnsiTheme="minorEastAsia"/>
          <w:sz w:val="24"/>
          <w:highlight w:val="none"/>
        </w:rPr>
      </w:pPr>
      <w:r>
        <w:rPr>
          <w:rFonts w:hint="eastAsia" w:asciiTheme="minorEastAsia" w:hAnsiTheme="minorEastAsia"/>
          <w:sz w:val="24"/>
          <w:szCs w:val="24"/>
          <w:highlight w:val="none"/>
        </w:rPr>
        <w:t>2）网络投票时间：</w:t>
      </w:r>
      <w:r>
        <w:rPr>
          <w:rFonts w:asciiTheme="minorEastAsia" w:hAnsiTheme="minorEastAsia"/>
          <w:sz w:val="24"/>
          <w:highlight w:val="none"/>
        </w:rPr>
        <w:t>通过深圳证券交易所交易系统进行网络投票的时间为</w:t>
      </w:r>
      <w:r>
        <w:rPr>
          <w:rFonts w:hint="eastAsia" w:asciiTheme="minorEastAsia" w:hAnsiTheme="minorEastAsia"/>
          <w:sz w:val="24"/>
          <w:szCs w:val="24"/>
          <w:highlight w:val="none"/>
          <w:lang w:eastAsia="zh-CN"/>
        </w:rPr>
        <w:t>2022年11月14日</w:t>
      </w:r>
      <w:r>
        <w:rPr>
          <w:rFonts w:hint="eastAsia" w:asciiTheme="minorEastAsia" w:hAnsiTheme="minorEastAsia"/>
          <w:sz w:val="24"/>
          <w:szCs w:val="24"/>
          <w:highlight w:val="none"/>
        </w:rPr>
        <w:t>的交易时间，即</w:t>
      </w:r>
      <w:r>
        <w:rPr>
          <w:rFonts w:asciiTheme="minorEastAsia" w:hAnsiTheme="minorEastAsia"/>
          <w:sz w:val="24"/>
          <w:highlight w:val="none"/>
        </w:rPr>
        <w:t>9:15—9:25，9:30－11:30和13:00－15:00；通过深圳证券交易所互联网系统投票的具体时间为</w:t>
      </w:r>
      <w:r>
        <w:rPr>
          <w:rFonts w:hint="eastAsia" w:asciiTheme="minorEastAsia" w:hAnsiTheme="minorEastAsia"/>
          <w:sz w:val="24"/>
          <w:szCs w:val="24"/>
          <w:highlight w:val="none"/>
          <w:lang w:eastAsia="zh-CN"/>
        </w:rPr>
        <w:t>2022年11月14日</w:t>
      </w:r>
      <w:r>
        <w:rPr>
          <w:rFonts w:hint="eastAsia" w:asciiTheme="minorEastAsia" w:hAnsiTheme="minorEastAsia"/>
          <w:sz w:val="24"/>
          <w:highlight w:val="none"/>
        </w:rPr>
        <w:t>9</w:t>
      </w:r>
      <w:r>
        <w:rPr>
          <w:rFonts w:asciiTheme="minorEastAsia" w:hAnsiTheme="minorEastAsia"/>
          <w:sz w:val="24"/>
          <w:highlight w:val="none"/>
        </w:rPr>
        <w:t>：</w:t>
      </w:r>
      <w:r>
        <w:rPr>
          <w:rFonts w:hint="eastAsia" w:asciiTheme="minorEastAsia" w:hAnsiTheme="minorEastAsia"/>
          <w:sz w:val="24"/>
          <w:highlight w:val="none"/>
        </w:rPr>
        <w:t>15</w:t>
      </w:r>
      <w:r>
        <w:rPr>
          <w:rFonts w:asciiTheme="minorEastAsia" w:hAnsiTheme="minorEastAsia"/>
          <w:sz w:val="24"/>
          <w:highlight w:val="none"/>
        </w:rPr>
        <w:t>至15：00期间的任意时间。</w:t>
      </w:r>
    </w:p>
    <w:p>
      <w:pPr>
        <w:autoSpaceDE w:val="0"/>
        <w:autoSpaceDN w:val="0"/>
        <w:spacing w:line="360" w:lineRule="auto"/>
        <w:ind w:right="-58" w:firstLine="480" w:firstLineChars="200"/>
        <w:rPr>
          <w:rFonts w:asciiTheme="minorEastAsia" w:hAnsiTheme="minorEastAsia"/>
          <w:sz w:val="24"/>
          <w:highlight w:val="none"/>
        </w:rPr>
      </w:pPr>
      <w:r>
        <w:rPr>
          <w:rFonts w:hint="eastAsia" w:asciiTheme="minorEastAsia" w:hAnsiTheme="minorEastAsia"/>
          <w:sz w:val="24"/>
          <w:highlight w:val="none"/>
        </w:rPr>
        <w:t>5．</w:t>
      </w:r>
      <w:r>
        <w:rPr>
          <w:rFonts w:asciiTheme="minorEastAsia" w:hAnsiTheme="minorEastAsia"/>
          <w:sz w:val="24"/>
          <w:highlight w:val="none"/>
        </w:rPr>
        <w:t>会议召开方式：本次股东大会采取现场与网络投票相结合的方式。</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1）现场投票：股东本人出席现场会议或者授权委托他人出席现场会议。</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2）网络投票：公司将通过深圳证券交易所交易系统和互联网投票系统(http://wltp.cninfo.com.cn)向全体股东提供网络形式的投票平台，股东可以在上述网络投票时间内通过上述系统行使表决权。</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3）公司股东只能选择现场投票或网络投票中的一种表决方式。同一表决权出现重复投票的以第一次有效投票结果为准。</w:t>
      </w:r>
    </w:p>
    <w:p>
      <w:pPr>
        <w:autoSpaceDE w:val="0"/>
        <w:autoSpaceDN w:val="0"/>
        <w:spacing w:line="360" w:lineRule="auto"/>
        <w:ind w:right="-58" w:firstLine="480" w:firstLineChars="200"/>
        <w:rPr>
          <w:rFonts w:hint="eastAsia" w:asciiTheme="minorEastAsia" w:hAnsiTheme="minorEastAsia" w:eastAsiaTheme="minorEastAsia"/>
          <w:sz w:val="24"/>
          <w:highlight w:val="none"/>
          <w:lang w:eastAsia="zh-CN"/>
        </w:rPr>
      </w:pPr>
      <w:r>
        <w:rPr>
          <w:rFonts w:hint="eastAsia" w:asciiTheme="minorEastAsia" w:hAnsiTheme="minorEastAsia"/>
          <w:sz w:val="24"/>
          <w:highlight w:val="none"/>
        </w:rPr>
        <w:t>6．</w:t>
      </w:r>
      <w:r>
        <w:rPr>
          <w:rFonts w:asciiTheme="minorEastAsia" w:hAnsiTheme="minorEastAsia"/>
          <w:sz w:val="24"/>
          <w:highlight w:val="none"/>
        </w:rPr>
        <w:t>会议出席对象</w:t>
      </w:r>
    </w:p>
    <w:p>
      <w:pPr>
        <w:autoSpaceDE w:val="0"/>
        <w:autoSpaceDN w:val="0"/>
        <w:spacing w:line="360" w:lineRule="auto"/>
        <w:ind w:right="-58" w:firstLine="480" w:firstLineChars="200"/>
        <w:rPr>
          <w:rFonts w:hint="eastAsia" w:asciiTheme="minorEastAsia" w:hAnsiTheme="minorEastAsia" w:eastAsiaTheme="minorEastAsia"/>
          <w:sz w:val="24"/>
          <w:highlight w:val="none"/>
          <w:lang w:eastAsia="zh-CN"/>
        </w:rPr>
      </w:pPr>
      <w:r>
        <w:rPr>
          <w:rFonts w:asciiTheme="minorEastAsia" w:hAnsiTheme="minorEastAsia"/>
          <w:sz w:val="24"/>
          <w:highlight w:val="none"/>
        </w:rPr>
        <w:t>（1）在股权登记日持有公司股份的普通股股东或其代理人。本次股东大会的股权登记日</w:t>
      </w:r>
      <w:r>
        <w:rPr>
          <w:rFonts w:hint="eastAsia" w:asciiTheme="minorEastAsia" w:hAnsiTheme="minorEastAsia"/>
          <w:sz w:val="24"/>
          <w:highlight w:val="none"/>
          <w:lang w:eastAsia="zh-CN"/>
        </w:rPr>
        <w:t>2022年11月7日</w:t>
      </w:r>
      <w:r>
        <w:rPr>
          <w:rFonts w:asciiTheme="minorEastAsia" w:hAnsiTheme="minorEastAsia"/>
          <w:sz w:val="24"/>
          <w:highlight w:val="none"/>
        </w:rPr>
        <w:t>（</w:t>
      </w:r>
      <w:r>
        <w:rPr>
          <w:rFonts w:hint="eastAsia" w:asciiTheme="minorEastAsia" w:hAnsiTheme="minorEastAsia"/>
          <w:sz w:val="24"/>
          <w:highlight w:val="none"/>
          <w:lang w:eastAsia="zh-CN"/>
        </w:rPr>
        <w:t>星期一</w:t>
      </w:r>
      <w:r>
        <w:rPr>
          <w:rFonts w:asciiTheme="minorEastAsia" w:hAnsiTheme="minorEastAsia"/>
          <w:sz w:val="24"/>
          <w:highlight w:val="none"/>
        </w:rPr>
        <w:t>），于股权登记日下午收市时，在中国证券登记结算有限责任公司深圳分公司登记在册的公司全体普通股股东均有权出席股东大会，并可以书面委托代理人出席和参加表决，该股东代理人可以不必是公司的股东（授权委托书样式详见附件</w:t>
      </w:r>
      <w:r>
        <w:rPr>
          <w:rFonts w:hint="eastAsia" w:asciiTheme="minorEastAsia" w:hAnsiTheme="minorEastAsia"/>
          <w:sz w:val="24"/>
          <w:highlight w:val="none"/>
        </w:rPr>
        <w:t>二</w:t>
      </w:r>
      <w:r>
        <w:rPr>
          <w:rFonts w:asciiTheme="minorEastAsia" w:hAnsiTheme="minorEastAsia"/>
          <w:sz w:val="24"/>
          <w:highlight w:val="none"/>
        </w:rPr>
        <w:t>）。</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（2）公司董事、监事、高级管理人员。</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（3）公司聘请的见证律师。</w:t>
      </w:r>
    </w:p>
    <w:p>
      <w:pPr>
        <w:autoSpaceDE w:val="0"/>
        <w:autoSpaceDN w:val="0"/>
        <w:spacing w:line="360" w:lineRule="auto"/>
        <w:ind w:right="-58" w:firstLine="480" w:firstLineChars="200"/>
        <w:rPr>
          <w:rFonts w:asciiTheme="minorEastAsia" w:hAnsiTheme="minorEastAsia"/>
          <w:sz w:val="24"/>
          <w:highlight w:val="none"/>
        </w:rPr>
      </w:pPr>
      <w:r>
        <w:rPr>
          <w:rFonts w:hint="eastAsia" w:asciiTheme="minorEastAsia" w:hAnsiTheme="minorEastAsia"/>
          <w:sz w:val="24"/>
          <w:highlight w:val="none"/>
        </w:rPr>
        <w:t>7．现场会议地点：山东省青岛市高新技术产业开发区</w:t>
      </w:r>
      <w:r>
        <w:rPr>
          <w:rFonts w:hint="eastAsia" w:asciiTheme="minorEastAsia" w:hAnsiTheme="minorEastAsia"/>
          <w:sz w:val="24"/>
          <w:highlight w:val="none"/>
          <w:lang w:eastAsia="zh-CN"/>
        </w:rPr>
        <w:t>春阳路789号</w:t>
      </w:r>
      <w:r>
        <w:rPr>
          <w:rFonts w:hint="eastAsia" w:asciiTheme="minorEastAsia" w:hAnsiTheme="minorEastAsia"/>
          <w:sz w:val="24"/>
          <w:highlight w:val="none"/>
        </w:rPr>
        <w:t>伟隆股份公司三楼会议室以现场方式召开。</w:t>
      </w:r>
    </w:p>
    <w:p>
      <w:pPr>
        <w:autoSpaceDE w:val="0"/>
        <w:autoSpaceDN w:val="0"/>
        <w:spacing w:line="360" w:lineRule="auto"/>
        <w:ind w:right="-58" w:firstLine="480" w:firstLineChars="200"/>
        <w:rPr>
          <w:rFonts w:asciiTheme="minorEastAsia" w:hAnsiTheme="minorEastAsia"/>
          <w:sz w:val="24"/>
          <w:highlight w:val="none"/>
        </w:rPr>
      </w:pPr>
      <w:r>
        <w:rPr>
          <w:rFonts w:asciiTheme="minorEastAsia" w:hAnsiTheme="minorEastAsia"/>
          <w:sz w:val="24"/>
          <w:highlight w:val="none"/>
        </w:rPr>
        <w:t>8、投资者应按照深圳证券交易所发布的《深圳证券交易所上市公司股东大会网络投票实施细则》的有关规定执行。</w:t>
      </w:r>
    </w:p>
    <w:p>
      <w:pPr>
        <w:spacing w:line="360" w:lineRule="auto"/>
        <w:ind w:firstLine="482" w:firstLineChars="200"/>
        <w:rPr>
          <w:rFonts w:hint="eastAsia" w:asciiTheme="minorEastAsia" w:hAnsiTheme="minorEastAsia"/>
          <w:b/>
          <w:sz w:val="24"/>
          <w:szCs w:val="24"/>
          <w:highlight w:val="none"/>
        </w:rPr>
      </w:pPr>
      <w:r>
        <w:rPr>
          <w:rFonts w:hint="eastAsia" w:asciiTheme="minorEastAsia" w:hAnsiTheme="minorEastAsia"/>
          <w:b/>
          <w:sz w:val="24"/>
          <w:szCs w:val="24"/>
          <w:highlight w:val="none"/>
        </w:rPr>
        <w:t>二、会议审议事项</w:t>
      </w:r>
    </w:p>
    <w:p>
      <w:pPr>
        <w:spacing w:line="360" w:lineRule="auto"/>
        <w:ind w:firstLine="482" w:firstLineChars="200"/>
        <w:rPr>
          <w:rFonts w:hint="eastAsia" w:asciiTheme="minorEastAsia" w:hAnsiTheme="minorEastAsia" w:eastAsiaTheme="minorEastAsia"/>
          <w:b/>
          <w:sz w:val="24"/>
          <w:szCs w:val="24"/>
          <w:highlight w:val="none"/>
          <w:lang w:val="en-US" w:eastAsia="zh-CN"/>
        </w:rPr>
      </w:pPr>
      <w:r>
        <w:rPr>
          <w:rFonts w:hint="eastAsia" w:asciiTheme="minorEastAsia" w:hAnsiTheme="minorEastAsia"/>
          <w:b/>
          <w:sz w:val="24"/>
          <w:szCs w:val="24"/>
          <w:highlight w:val="none"/>
          <w:lang w:val="en-US" w:eastAsia="zh-CN"/>
        </w:rPr>
        <w:t>1、提案内容</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529"/>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spacing w:line="360" w:lineRule="auto"/>
              <w:jc w:val="center"/>
              <w:rPr>
                <w:rFonts w:asciiTheme="minorEastAsia" w:hAnsiTheme="minorEastAsia"/>
                <w:b/>
                <w:sz w:val="24"/>
                <w:szCs w:val="24"/>
                <w:highlight w:val="none"/>
              </w:rPr>
            </w:pPr>
            <w:r>
              <w:rPr>
                <w:rFonts w:asciiTheme="minorEastAsia" w:hAnsiTheme="minorEastAsia"/>
                <w:b/>
                <w:sz w:val="24"/>
                <w:szCs w:val="24"/>
                <w:highlight w:val="none"/>
              </w:rPr>
              <w:t>提案编码</w:t>
            </w:r>
          </w:p>
        </w:tc>
        <w:tc>
          <w:tcPr>
            <w:tcW w:w="5529" w:type="dxa"/>
            <w:vMerge w:val="restart"/>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提案名称</w:t>
            </w:r>
          </w:p>
        </w:tc>
        <w:tc>
          <w:tcPr>
            <w:tcW w:w="1751" w:type="dxa"/>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pPr>
              <w:spacing w:line="360" w:lineRule="auto"/>
              <w:rPr>
                <w:rFonts w:asciiTheme="minorEastAsia" w:hAnsiTheme="minorEastAsia"/>
                <w:b/>
                <w:sz w:val="24"/>
                <w:szCs w:val="24"/>
                <w:highlight w:val="none"/>
              </w:rPr>
            </w:pPr>
          </w:p>
        </w:tc>
        <w:tc>
          <w:tcPr>
            <w:tcW w:w="5529" w:type="dxa"/>
            <w:vMerge w:val="continue"/>
          </w:tcPr>
          <w:p>
            <w:pPr>
              <w:rPr>
                <w:rFonts w:asciiTheme="minorEastAsia" w:hAnsiTheme="minorEastAsia"/>
                <w:b/>
                <w:sz w:val="24"/>
                <w:szCs w:val="24"/>
                <w:highlight w:val="none"/>
              </w:rPr>
            </w:pPr>
          </w:p>
        </w:tc>
        <w:tc>
          <w:tcPr>
            <w:tcW w:w="1751" w:type="dxa"/>
          </w:tcPr>
          <w:p>
            <w:pPr>
              <w:rPr>
                <w:rFonts w:asciiTheme="minorEastAsia" w:hAnsiTheme="minorEastAsia"/>
                <w:b/>
                <w:sz w:val="24"/>
                <w:szCs w:val="24"/>
                <w:highlight w:val="none"/>
              </w:rPr>
            </w:pPr>
            <w:r>
              <w:rPr>
                <w:rFonts w:asciiTheme="minorEastAsia" w:hAnsiTheme="minorEastAsia"/>
                <w:b/>
                <w:sz w:val="24"/>
                <w:szCs w:val="24"/>
                <w:highlight w:val="none"/>
              </w:rPr>
              <w:t>该列打勾的栏目可以投票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360" w:lineRule="auto"/>
              <w:jc w:val="center"/>
              <w:rPr>
                <w:rFonts w:asciiTheme="minorEastAsia" w:hAnsiTheme="minorEastAsia"/>
                <w:sz w:val="24"/>
                <w:szCs w:val="24"/>
                <w:highlight w:val="none"/>
              </w:rPr>
            </w:pPr>
            <w:r>
              <w:rPr>
                <w:rFonts w:asciiTheme="minorEastAsia" w:hAnsiTheme="minorEastAsia"/>
                <w:sz w:val="24"/>
                <w:szCs w:val="24"/>
                <w:highlight w:val="none"/>
              </w:rPr>
              <w:t>非累积投票议案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cstheme="minorBidi"/>
                <w:kern w:val="2"/>
                <w:sz w:val="24"/>
                <w:szCs w:val="24"/>
                <w:highlight w:val="none"/>
                <w:lang w:val="en-US" w:eastAsia="zh-CN" w:bidi="ar-SA"/>
              </w:rPr>
            </w:pPr>
            <w:r>
              <w:rPr>
                <w:rFonts w:hint="eastAsia" w:asciiTheme="minorEastAsia" w:hAnsiTheme="minorEastAsia"/>
                <w:sz w:val="24"/>
                <w:szCs w:val="24"/>
                <w:highlight w:val="none"/>
              </w:rPr>
              <w:t>1.00</w:t>
            </w:r>
          </w:p>
        </w:tc>
        <w:tc>
          <w:tcPr>
            <w:tcW w:w="5529" w:type="dxa"/>
            <w:vAlign w:val="top"/>
          </w:tcPr>
          <w:p>
            <w:pPr>
              <w:spacing w:line="360" w:lineRule="auto"/>
              <w:rPr>
                <w:rFonts w:hint="eastAsia" w:asciiTheme="minorEastAsia" w:hAnsiTheme="minorEastAsia"/>
                <w:sz w:val="24"/>
                <w:szCs w:val="24"/>
                <w:highlight w:val="none"/>
                <w:lang w:val="en-US" w:eastAsia="zh-CN"/>
              </w:rPr>
            </w:pPr>
            <w:r>
              <w:rPr>
                <w:rFonts w:hint="eastAsia" w:asciiTheme="minorEastAsia" w:hAnsiTheme="minorEastAsia"/>
                <w:sz w:val="24"/>
                <w:szCs w:val="24"/>
                <w:highlight w:val="none"/>
              </w:rPr>
              <w:t>《</w:t>
            </w:r>
            <w:r>
              <w:rPr>
                <w:rFonts w:hint="eastAsia" w:ascii="宋体" w:hAnsi="宋体" w:eastAsia="宋体"/>
                <w:sz w:val="24"/>
                <w:szCs w:val="23"/>
                <w:highlight w:val="none"/>
              </w:rPr>
              <w:t>关于回购注销部分限制性股票的议案</w:t>
            </w:r>
            <w:r>
              <w:rPr>
                <w:rFonts w:hint="eastAsia" w:asciiTheme="minorEastAsia" w:hAnsiTheme="minorEastAsia"/>
                <w:sz w:val="24"/>
                <w:szCs w:val="24"/>
                <w:highlight w:val="none"/>
              </w:rPr>
              <w:t>》；</w:t>
            </w:r>
          </w:p>
        </w:tc>
        <w:tc>
          <w:tcPr>
            <w:tcW w:w="1751" w:type="dxa"/>
            <w:vAlign w:val="center"/>
          </w:tcPr>
          <w:p>
            <w:pPr>
              <w:jc w:val="center"/>
              <w:rPr>
                <w:rFonts w:asciiTheme="minorEastAsia" w:hAnsiTheme="minorEastAsia" w:eastAsiaTheme="minorEastAsia" w:cstheme="minorBidi"/>
                <w:kern w:val="2"/>
                <w:sz w:val="24"/>
                <w:szCs w:val="24"/>
                <w:highlight w:val="none"/>
                <w:lang w:val="en-US" w:eastAsia="zh-CN" w:bidi="ar-SA"/>
              </w:rPr>
            </w:pPr>
            <w:r>
              <w:rPr>
                <w:rFonts w:asciiTheme="minorEastAsia" w:hAnsiTheme="minorEastAsia"/>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default"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lang w:val="en-US" w:eastAsia="zh-CN"/>
              </w:rPr>
              <w:t>2.00</w:t>
            </w:r>
          </w:p>
        </w:tc>
        <w:tc>
          <w:tcPr>
            <w:tcW w:w="5529" w:type="dxa"/>
            <w:vAlign w:val="top"/>
          </w:tcPr>
          <w:p>
            <w:pPr>
              <w:spacing w:line="360" w:lineRule="auto"/>
              <w:rPr>
                <w:rFonts w:hint="eastAsia" w:asciiTheme="minorEastAsia" w:hAnsiTheme="minorEastAsia"/>
                <w:sz w:val="24"/>
                <w:szCs w:val="24"/>
                <w:highlight w:val="none"/>
              </w:rPr>
            </w:pPr>
            <w:r>
              <w:rPr>
                <w:rFonts w:hint="eastAsia" w:asciiTheme="minorEastAsia" w:hAnsiTheme="minorEastAsia"/>
                <w:sz w:val="24"/>
                <w:szCs w:val="24"/>
                <w:highlight w:val="none"/>
              </w:rPr>
              <w:t>《</w:t>
            </w:r>
            <w:r>
              <w:rPr>
                <w:rFonts w:hint="eastAsia" w:ascii="宋体" w:hAnsi="宋体" w:eastAsia="宋体"/>
                <w:sz w:val="24"/>
                <w:szCs w:val="23"/>
                <w:highlight w:val="none"/>
              </w:rPr>
              <w:t>关于变更公司注册资本与修改&lt;公司章程&gt;的议案》</w:t>
            </w:r>
          </w:p>
        </w:tc>
        <w:tc>
          <w:tcPr>
            <w:tcW w:w="1751" w:type="dxa"/>
            <w:vAlign w:val="center"/>
          </w:tcPr>
          <w:p>
            <w:pPr>
              <w:jc w:val="center"/>
              <w:rPr>
                <w:rFonts w:asciiTheme="minorEastAsia" w:hAnsiTheme="minorEastAsia"/>
                <w:sz w:val="24"/>
                <w:szCs w:val="24"/>
                <w:highlight w:val="none"/>
              </w:rPr>
            </w:pPr>
            <w:r>
              <w:rPr>
                <w:rFonts w:asciiTheme="minorEastAsia" w:hAnsiTheme="minorEastAsia"/>
                <w:sz w:val="24"/>
                <w:szCs w:val="24"/>
                <w:highlight w:val="none"/>
              </w:rPr>
              <w:t>√</w:t>
            </w:r>
          </w:p>
        </w:tc>
      </w:tr>
    </w:tbl>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上述议案已经公司</w:t>
      </w:r>
      <w:r>
        <w:rPr>
          <w:rFonts w:hint="eastAsia" w:asciiTheme="minorEastAsia" w:hAnsiTheme="minorEastAsia"/>
          <w:sz w:val="24"/>
          <w:szCs w:val="24"/>
          <w:highlight w:val="none"/>
          <w:lang w:eastAsia="zh-CN"/>
        </w:rPr>
        <w:t>第四届董事会第十五次会</w:t>
      </w:r>
      <w:r>
        <w:rPr>
          <w:rFonts w:hint="eastAsia" w:asciiTheme="minorEastAsia" w:hAnsiTheme="minorEastAsia"/>
          <w:sz w:val="24"/>
          <w:szCs w:val="24"/>
          <w:highlight w:val="none"/>
        </w:rPr>
        <w:t>议</w:t>
      </w:r>
      <w:r>
        <w:rPr>
          <w:rFonts w:hint="eastAsia" w:asciiTheme="minorEastAsia" w:hAnsiTheme="minorEastAsia"/>
          <w:sz w:val="24"/>
          <w:szCs w:val="24"/>
        </w:rPr>
        <w:t>、第四届监事会第十三次会议</w:t>
      </w:r>
      <w:r>
        <w:rPr>
          <w:rFonts w:hint="eastAsia" w:asciiTheme="minorEastAsia" w:hAnsiTheme="minorEastAsia"/>
          <w:sz w:val="24"/>
          <w:szCs w:val="24"/>
          <w:highlight w:val="none"/>
        </w:rPr>
        <w:t>审议通过，详见</w:t>
      </w:r>
      <w:r>
        <w:rPr>
          <w:rFonts w:hint="eastAsia" w:asciiTheme="minorEastAsia" w:hAnsiTheme="minorEastAsia"/>
          <w:sz w:val="24"/>
          <w:szCs w:val="24"/>
          <w:highlight w:val="none"/>
          <w:lang w:val="en-US" w:eastAsia="zh-CN"/>
        </w:rPr>
        <w:t>2022年10月28日</w:t>
      </w:r>
      <w:r>
        <w:rPr>
          <w:rFonts w:hint="eastAsia" w:asciiTheme="minorEastAsia" w:hAnsiTheme="minorEastAsia"/>
          <w:sz w:val="24"/>
          <w:szCs w:val="24"/>
          <w:highlight w:val="none"/>
        </w:rPr>
        <w:t>刊载于《证券时报》、《证券日报》、《中国证券报》和巨潮资讯网（http://www.cninfo.com.cn）的公告。</w:t>
      </w:r>
    </w:p>
    <w:p>
      <w:pPr>
        <w:spacing w:line="360" w:lineRule="auto"/>
        <w:ind w:firstLine="480" w:firstLineChars="200"/>
        <w:rPr>
          <w:rFonts w:hint="eastAsia"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rPr>
        <w:t>上述</w:t>
      </w:r>
      <w:r>
        <w:rPr>
          <w:rFonts w:hint="eastAsia" w:asciiTheme="minorEastAsia" w:hAnsiTheme="minorEastAsia"/>
          <w:sz w:val="24"/>
          <w:szCs w:val="24"/>
          <w:highlight w:val="none"/>
          <w:lang w:eastAsia="zh-CN"/>
        </w:rPr>
        <w:t>议</w:t>
      </w:r>
      <w:r>
        <w:rPr>
          <w:rFonts w:hint="eastAsia" w:asciiTheme="minorEastAsia" w:hAnsiTheme="minorEastAsia"/>
          <w:sz w:val="24"/>
          <w:szCs w:val="24"/>
          <w:highlight w:val="none"/>
        </w:rPr>
        <w:t>案</w:t>
      </w:r>
      <w:r>
        <w:rPr>
          <w:rFonts w:hint="eastAsia" w:asciiTheme="minorEastAsia" w:hAnsiTheme="minorEastAsia"/>
          <w:sz w:val="24"/>
          <w:szCs w:val="24"/>
          <w:highlight w:val="none"/>
          <w:lang w:val="en-US" w:eastAsia="zh-CN"/>
        </w:rPr>
        <w:t>2</w:t>
      </w:r>
      <w:r>
        <w:rPr>
          <w:rFonts w:hint="default" w:asciiTheme="minorEastAsia" w:hAnsiTheme="minorEastAsia"/>
          <w:sz w:val="24"/>
          <w:szCs w:val="24"/>
          <w:highlight w:val="none"/>
        </w:rPr>
        <w:t>经股东大会特别决议通过（出席本次股东大会的股东所持有表决权股份总数的三分之二以上同意）</w:t>
      </w:r>
      <w:r>
        <w:rPr>
          <w:rFonts w:hint="eastAsia" w:asciiTheme="minorEastAsia" w:hAnsiTheme="minorEastAsia"/>
          <w:sz w:val="24"/>
          <w:szCs w:val="24"/>
          <w:highlight w:val="none"/>
          <w:lang w:eastAsia="zh-CN"/>
        </w:rPr>
        <w:t>。</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上述议案属于涉及影响中小投资者利益的重大事项，公</w:t>
      </w:r>
      <w:bookmarkStart w:id="0" w:name="_GoBack"/>
      <w:bookmarkEnd w:id="0"/>
      <w:r>
        <w:rPr>
          <w:rFonts w:hint="eastAsia" w:asciiTheme="minorEastAsia" w:hAnsiTheme="minorEastAsia"/>
          <w:sz w:val="24"/>
          <w:szCs w:val="24"/>
          <w:highlight w:val="none"/>
        </w:rPr>
        <w:t>司将对中小投资者（除公司董事、监事、高级管理人员以及单独或合计持有公司5%以上股份的股东以外的其他股东）的表决单独计票，并及时公开披露。</w:t>
      </w:r>
    </w:p>
    <w:p>
      <w:pPr>
        <w:spacing w:line="360" w:lineRule="auto"/>
        <w:ind w:firstLine="482" w:firstLineChars="200"/>
        <w:rPr>
          <w:rFonts w:asciiTheme="minorEastAsia" w:hAnsiTheme="minorEastAsia"/>
          <w:b/>
          <w:bCs/>
          <w:sz w:val="24"/>
          <w:szCs w:val="24"/>
          <w:highlight w:val="none"/>
        </w:rPr>
      </w:pPr>
      <w:r>
        <w:rPr>
          <w:rFonts w:hint="eastAsia" w:asciiTheme="minorEastAsia" w:hAnsiTheme="minorEastAsia"/>
          <w:b/>
          <w:bCs/>
          <w:sz w:val="24"/>
          <w:szCs w:val="24"/>
          <w:highlight w:val="none"/>
          <w:lang w:eastAsia="zh-CN"/>
        </w:rPr>
        <w:t>三</w:t>
      </w:r>
      <w:r>
        <w:rPr>
          <w:rFonts w:hint="eastAsia" w:asciiTheme="minorEastAsia" w:hAnsiTheme="minorEastAsia"/>
          <w:b/>
          <w:bCs/>
          <w:sz w:val="24"/>
          <w:szCs w:val="24"/>
          <w:highlight w:val="none"/>
        </w:rPr>
        <w:t>、会议登记方法</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1、登记时间：202</w:t>
      </w:r>
      <w:r>
        <w:rPr>
          <w:rFonts w:hint="eastAsia" w:asciiTheme="minorEastAsia" w:hAnsiTheme="minorEastAsia"/>
          <w:sz w:val="24"/>
          <w:szCs w:val="24"/>
          <w:highlight w:val="none"/>
          <w:lang w:val="en-US" w:eastAsia="zh-CN"/>
        </w:rPr>
        <w:t>2</w:t>
      </w:r>
      <w:r>
        <w:rPr>
          <w:rFonts w:hint="eastAsia" w:asciiTheme="minorEastAsia" w:hAnsiTheme="minorEastAsia"/>
          <w:sz w:val="24"/>
          <w:szCs w:val="24"/>
          <w:highlight w:val="none"/>
        </w:rPr>
        <w:t>年</w:t>
      </w:r>
      <w:r>
        <w:rPr>
          <w:rFonts w:hint="eastAsia" w:asciiTheme="minorEastAsia" w:hAnsiTheme="minorEastAsia"/>
          <w:sz w:val="24"/>
          <w:szCs w:val="24"/>
          <w:highlight w:val="none"/>
          <w:lang w:val="en-US" w:eastAsia="zh-CN"/>
        </w:rPr>
        <w:t>11月11日</w:t>
      </w:r>
      <w:r>
        <w:rPr>
          <w:rFonts w:hint="eastAsia" w:asciiTheme="minorEastAsia" w:hAnsiTheme="minorEastAsia"/>
          <w:sz w:val="24"/>
          <w:szCs w:val="24"/>
          <w:highlight w:val="none"/>
        </w:rPr>
        <w:t>（</w:t>
      </w:r>
      <w:r>
        <w:rPr>
          <w:rFonts w:hint="eastAsia" w:asciiTheme="minorEastAsia" w:hAnsiTheme="minorEastAsia"/>
          <w:sz w:val="24"/>
          <w:szCs w:val="24"/>
          <w:highlight w:val="none"/>
          <w:lang w:eastAsia="zh-CN"/>
        </w:rPr>
        <w:t>星期五</w:t>
      </w:r>
      <w:r>
        <w:rPr>
          <w:rFonts w:hint="eastAsia" w:asciiTheme="minorEastAsia" w:hAnsiTheme="minorEastAsia"/>
          <w:sz w:val="24"/>
          <w:szCs w:val="24"/>
          <w:highlight w:val="none"/>
        </w:rPr>
        <w:t>）</w:t>
      </w:r>
      <w:r>
        <w:rPr>
          <w:rFonts w:ascii="宋体" w:hAnsi="宋体" w:eastAsia="宋体"/>
          <w:sz w:val="24"/>
          <w:szCs w:val="24"/>
          <w:highlight w:val="none"/>
        </w:rPr>
        <w:t>上午9：30至11：30，下午14：00至16：30</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2、登记地点：山东省青岛市高新区</w:t>
      </w:r>
      <w:r>
        <w:rPr>
          <w:rFonts w:hint="eastAsia" w:asciiTheme="minorEastAsia" w:hAnsiTheme="minorEastAsia"/>
          <w:sz w:val="24"/>
          <w:szCs w:val="24"/>
          <w:highlight w:val="none"/>
          <w:lang w:eastAsia="zh-CN"/>
        </w:rPr>
        <w:t>春阳路789号</w:t>
      </w:r>
      <w:r>
        <w:rPr>
          <w:rFonts w:hint="eastAsia" w:asciiTheme="minorEastAsia" w:hAnsiTheme="minorEastAsia"/>
          <w:sz w:val="24"/>
          <w:szCs w:val="24"/>
          <w:highlight w:val="none"/>
        </w:rPr>
        <w:t>伟隆股份董事会办公室</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3、登记方式：</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法人股东应由法定代表人或法定代表人委托的代理人出席会议。法定代表人出席会议的，应持股东账户卡、加盖公章的营业执照复印件、法定代表人证明书及身份证办理登记手续；法定代表人委托代理人出席会议的，代理人应持代理人本人身份证、加盖公章的营业执照复印件、法定代表人出具的授权委托书（附件二）、法定代表人身份证明、法人股东股票账户卡办理登记手续；出席人员应当携带上述文件的原件参加股东大会。</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（2）自然人股东应持本人身份证、股东账户卡办理登记手续；自然人股东委托代理人的，应持代理人本人身份证、授权委托书（附件二）、委托人股东账户卡、委托人身份证办理登记手续；</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（3）异地股东可采用信函或传真的方式登记，股东请仔细填写《参会股东登记表》（样式详见附件三），以便登记确认。传真请在202</w:t>
      </w:r>
      <w:r>
        <w:rPr>
          <w:rFonts w:hint="eastAsia" w:asciiTheme="minorEastAsia" w:hAnsiTheme="minorEastAsia"/>
          <w:sz w:val="24"/>
          <w:szCs w:val="24"/>
          <w:highlight w:val="none"/>
          <w:lang w:val="en-US" w:eastAsia="zh-CN"/>
        </w:rPr>
        <w:t>2</w:t>
      </w:r>
      <w:r>
        <w:rPr>
          <w:rFonts w:hint="eastAsia" w:asciiTheme="minorEastAsia" w:hAnsiTheme="minorEastAsia"/>
          <w:sz w:val="24"/>
          <w:szCs w:val="24"/>
          <w:highlight w:val="none"/>
        </w:rPr>
        <w:t>年</w:t>
      </w:r>
      <w:r>
        <w:rPr>
          <w:rFonts w:hint="eastAsia" w:asciiTheme="minorEastAsia" w:hAnsiTheme="minorEastAsia"/>
          <w:sz w:val="24"/>
          <w:szCs w:val="24"/>
          <w:highlight w:val="none"/>
          <w:lang w:val="en-US" w:eastAsia="zh-CN"/>
        </w:rPr>
        <w:t>11月11日</w:t>
      </w:r>
      <w:r>
        <w:rPr>
          <w:rFonts w:hint="eastAsia" w:asciiTheme="minorEastAsia" w:hAnsiTheme="minorEastAsia"/>
          <w:sz w:val="24"/>
          <w:szCs w:val="24"/>
          <w:highlight w:val="none"/>
        </w:rPr>
        <w:t>下午16:30前送达公司董事会办公室。来信请寄：山东省青岛市高新区</w:t>
      </w:r>
      <w:r>
        <w:rPr>
          <w:rFonts w:hint="eastAsia" w:asciiTheme="minorEastAsia" w:hAnsiTheme="minorEastAsia"/>
          <w:sz w:val="24"/>
          <w:szCs w:val="24"/>
          <w:highlight w:val="none"/>
          <w:lang w:eastAsia="zh-CN"/>
        </w:rPr>
        <w:t>春阳路789号</w:t>
      </w:r>
      <w:r>
        <w:rPr>
          <w:rFonts w:hint="eastAsia" w:asciiTheme="minorEastAsia" w:hAnsiTheme="minorEastAsia"/>
          <w:sz w:val="24"/>
          <w:szCs w:val="24"/>
          <w:highlight w:val="none"/>
        </w:rPr>
        <w:t>伟隆股份董事会办公室。邮编：266000（信封请注明“股东大会”字样），信函或传真以抵达本公司的时间为准，不接受电话登记。</w:t>
      </w:r>
    </w:p>
    <w:p>
      <w:pPr>
        <w:spacing w:line="360" w:lineRule="auto"/>
        <w:ind w:firstLine="482" w:firstLineChars="200"/>
        <w:rPr>
          <w:rFonts w:asciiTheme="minorEastAsia" w:hAnsiTheme="minorEastAsia"/>
          <w:b/>
          <w:bCs/>
          <w:sz w:val="24"/>
          <w:szCs w:val="24"/>
          <w:highlight w:val="none"/>
        </w:rPr>
      </w:pPr>
      <w:r>
        <w:rPr>
          <w:rFonts w:hint="eastAsia" w:asciiTheme="minorEastAsia" w:hAnsiTheme="minorEastAsia"/>
          <w:b/>
          <w:bCs/>
          <w:sz w:val="24"/>
          <w:szCs w:val="24"/>
          <w:highlight w:val="none"/>
        </w:rPr>
        <w:t>五、参加网络投票的具体操作流程</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本次股东大会，公司将向股东提供网络投票平台，股东可以通过深圳证券交易所交易系统和互联网投票系统（网址：http://wltp.cninfo.com.cn）参加投票，网络投票的相关具体操作流程见附件一。</w:t>
      </w:r>
    </w:p>
    <w:p>
      <w:pPr>
        <w:spacing w:line="360" w:lineRule="auto"/>
        <w:ind w:firstLine="482" w:firstLineChars="200"/>
        <w:rPr>
          <w:rFonts w:asciiTheme="minorEastAsia" w:hAnsiTheme="minorEastAsia"/>
          <w:b/>
          <w:bCs/>
          <w:sz w:val="24"/>
          <w:szCs w:val="24"/>
          <w:highlight w:val="none"/>
        </w:rPr>
      </w:pPr>
      <w:r>
        <w:rPr>
          <w:rFonts w:hint="eastAsia" w:asciiTheme="minorEastAsia" w:hAnsiTheme="minorEastAsia"/>
          <w:b/>
          <w:bCs/>
          <w:sz w:val="24"/>
          <w:szCs w:val="24"/>
          <w:highlight w:val="none"/>
        </w:rPr>
        <w:t>六、其他事项</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1、会议联系方式：</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联系人：</w:t>
      </w:r>
      <w:r>
        <w:rPr>
          <w:rFonts w:hint="eastAsia" w:asciiTheme="minorEastAsia" w:hAnsiTheme="minorEastAsia"/>
          <w:sz w:val="24"/>
          <w:szCs w:val="24"/>
          <w:highlight w:val="none"/>
          <w:lang w:eastAsia="zh-CN"/>
        </w:rPr>
        <w:t>迟娜娜</w:t>
      </w:r>
      <w:r>
        <w:rPr>
          <w:rFonts w:hint="eastAsia" w:asciiTheme="minorEastAsia" w:hAnsiTheme="minorEastAsia"/>
          <w:sz w:val="24"/>
          <w:szCs w:val="24"/>
          <w:highlight w:val="none"/>
        </w:rPr>
        <w:t>、赵翔</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联系电话：0532-87901466</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联系传真：0532-87901466</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通讯地址：山东省青岛市高新区</w:t>
      </w:r>
      <w:r>
        <w:rPr>
          <w:rFonts w:hint="eastAsia" w:asciiTheme="minorEastAsia" w:hAnsiTheme="minorEastAsia"/>
          <w:sz w:val="24"/>
          <w:szCs w:val="24"/>
          <w:highlight w:val="none"/>
          <w:lang w:eastAsia="zh-CN"/>
        </w:rPr>
        <w:t>春阳路789号</w:t>
      </w:r>
      <w:r>
        <w:rPr>
          <w:rFonts w:hint="eastAsia" w:asciiTheme="minorEastAsia" w:hAnsiTheme="minorEastAsia"/>
          <w:sz w:val="24"/>
          <w:szCs w:val="24"/>
          <w:highlight w:val="none"/>
        </w:rPr>
        <w:t>伟隆股份董事会办公室</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邮政编码：266000</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2、本次股东大会现场会议会期半天，与会人员的食宿及交通等费用自理。</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3、出席现场会议的股东或股东代理人请携带相关证件原件于会议开始前半小时内到达会场办理登记手续。</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4、网络投票系统异常情况的处理方式：网络投票期间，如网络投票系统遭遇突发重大事件的影响，则本次股东大会的进程按当日通知进行。</w:t>
      </w:r>
    </w:p>
    <w:p>
      <w:pPr>
        <w:spacing w:line="360" w:lineRule="auto"/>
        <w:ind w:firstLine="480" w:firstLineChars="200"/>
        <w:jc w:val="right"/>
        <w:rPr>
          <w:rFonts w:hint="eastAsia" w:asciiTheme="minorEastAsia" w:hAnsiTheme="minorEastAsia"/>
          <w:sz w:val="24"/>
          <w:szCs w:val="24"/>
          <w:highlight w:val="none"/>
        </w:rPr>
      </w:pPr>
      <w:r>
        <w:rPr>
          <w:rFonts w:hint="eastAsia" w:asciiTheme="minorEastAsia" w:hAnsiTheme="minorEastAsia"/>
          <w:sz w:val="24"/>
          <w:szCs w:val="24"/>
          <w:highlight w:val="none"/>
        </w:rPr>
        <w:t>青岛伟隆阀门股份有限公司</w:t>
      </w:r>
    </w:p>
    <w:p>
      <w:pPr>
        <w:wordWrap w:val="0"/>
        <w:spacing w:line="360" w:lineRule="auto"/>
        <w:ind w:firstLine="480" w:firstLineChars="200"/>
        <w:jc w:val="right"/>
        <w:rPr>
          <w:rFonts w:hint="default"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rPr>
        <w:t>董事会</w:t>
      </w:r>
      <w:r>
        <w:rPr>
          <w:rFonts w:hint="eastAsia" w:asciiTheme="minorEastAsia" w:hAnsiTheme="minorEastAsia"/>
          <w:sz w:val="24"/>
          <w:szCs w:val="24"/>
          <w:highlight w:val="none"/>
          <w:lang w:val="en-US" w:eastAsia="zh-CN"/>
        </w:rPr>
        <w:t xml:space="preserve">         </w:t>
      </w:r>
    </w:p>
    <w:p>
      <w:pPr>
        <w:wordWrap w:val="0"/>
        <w:spacing w:line="360" w:lineRule="auto"/>
        <w:ind w:firstLine="480" w:firstLineChars="200"/>
        <w:jc w:val="right"/>
        <w:rPr>
          <w:rFonts w:hint="default"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rPr>
        <w:t>202</w:t>
      </w:r>
      <w:r>
        <w:rPr>
          <w:rFonts w:hint="eastAsia" w:asciiTheme="minorEastAsia" w:hAnsiTheme="minorEastAsia"/>
          <w:sz w:val="24"/>
          <w:szCs w:val="24"/>
          <w:highlight w:val="none"/>
          <w:lang w:val="en-US" w:eastAsia="zh-CN"/>
        </w:rPr>
        <w:t>2</w:t>
      </w:r>
      <w:r>
        <w:rPr>
          <w:rFonts w:hint="eastAsia" w:asciiTheme="minorEastAsia" w:hAnsiTheme="minorEastAsia"/>
          <w:sz w:val="24"/>
          <w:szCs w:val="24"/>
          <w:highlight w:val="none"/>
        </w:rPr>
        <w:t>年</w:t>
      </w:r>
      <w:r>
        <w:rPr>
          <w:rFonts w:hint="eastAsia" w:asciiTheme="minorEastAsia" w:hAnsiTheme="minorEastAsia"/>
          <w:sz w:val="24"/>
          <w:szCs w:val="24"/>
          <w:highlight w:val="none"/>
          <w:lang w:val="en-US" w:eastAsia="zh-CN"/>
        </w:rPr>
        <w:t xml:space="preserve">10月28日  </w:t>
      </w:r>
    </w:p>
    <w:p>
      <w:pPr>
        <w:spacing w:line="360" w:lineRule="auto"/>
        <w:ind w:firstLine="480" w:firstLineChars="200"/>
        <w:rPr>
          <w:rFonts w:hint="eastAsia" w:asciiTheme="minorEastAsia" w:hAnsiTheme="minorEastAsia" w:eastAsiaTheme="minorEastAsia"/>
          <w:sz w:val="24"/>
          <w:szCs w:val="24"/>
          <w:highlight w:val="none"/>
          <w:lang w:val="en-US" w:eastAsia="zh-CN"/>
        </w:rPr>
        <w:sectPr>
          <w:headerReference r:id="rId3" w:type="default"/>
          <w:pgSz w:w="11906" w:h="16838"/>
          <w:pgMar w:top="1440" w:right="1800" w:bottom="1440" w:left="1800" w:header="851" w:footer="992" w:gutter="0"/>
          <w:cols w:space="425" w:num="1"/>
          <w:docGrid w:type="lines" w:linePitch="312" w:charSpace="0"/>
        </w:sectPr>
      </w:pP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附件一：</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参加网络投票的具体操作流程</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一、网络投票的程序</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1、普通股的投票代码与投票简称：投票代码为“362871”，投票简称为“伟隆投票”。</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2、填报表决意见或选举票数。本次股东大会议案为非累积投票的议案，填报表决意见为：同意、反对、弃权。</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3、股东对总议案进行投票，视为对除累积投票提案外的其他所有提案表达相同意见。</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二、通过深交所交易系统投票的程序</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1、投票时间：</w:t>
      </w:r>
      <w:r>
        <w:rPr>
          <w:rFonts w:hint="eastAsia" w:asciiTheme="minorEastAsia" w:hAnsiTheme="minorEastAsia"/>
          <w:sz w:val="24"/>
          <w:szCs w:val="24"/>
          <w:highlight w:val="none"/>
          <w:lang w:eastAsia="zh-CN"/>
        </w:rPr>
        <w:t>2022年11月14日</w:t>
      </w:r>
      <w:r>
        <w:rPr>
          <w:rFonts w:hint="eastAsia" w:asciiTheme="minorEastAsia" w:hAnsiTheme="minorEastAsia"/>
          <w:sz w:val="24"/>
          <w:szCs w:val="24"/>
          <w:highlight w:val="none"/>
        </w:rPr>
        <w:t>的交易时间，即9:30-11:30和13:00-15:00。</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2、股东可以登录证券公司交易客户端通过交易系统投票。</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三、通过深交所互联网投票系统投票的程序</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1、互联网投票系统开始投票的时间为</w:t>
      </w:r>
      <w:r>
        <w:rPr>
          <w:rFonts w:hint="eastAsia" w:asciiTheme="minorEastAsia" w:hAnsiTheme="minorEastAsia"/>
          <w:sz w:val="24"/>
          <w:szCs w:val="24"/>
          <w:highlight w:val="none"/>
          <w:lang w:eastAsia="zh-CN"/>
        </w:rPr>
        <w:t>2022年11月14日</w:t>
      </w:r>
      <w:r>
        <w:rPr>
          <w:rFonts w:hint="eastAsia" w:asciiTheme="minorEastAsia" w:hAnsiTheme="minorEastAsia"/>
          <w:sz w:val="24"/>
          <w:szCs w:val="24"/>
          <w:highlight w:val="none"/>
          <w:lang w:val="en-US" w:eastAsia="zh-CN"/>
        </w:rPr>
        <w:t>9</w:t>
      </w:r>
      <w:r>
        <w:rPr>
          <w:rFonts w:hint="eastAsia" w:asciiTheme="minorEastAsia" w:hAnsiTheme="minorEastAsia"/>
          <w:sz w:val="24"/>
          <w:szCs w:val="24"/>
          <w:highlight w:val="none"/>
        </w:rPr>
        <w:t>:</w:t>
      </w:r>
      <w:r>
        <w:rPr>
          <w:rFonts w:hint="eastAsia" w:asciiTheme="minorEastAsia" w:hAnsiTheme="minorEastAsia"/>
          <w:sz w:val="24"/>
          <w:szCs w:val="24"/>
          <w:highlight w:val="none"/>
          <w:lang w:val="en-US" w:eastAsia="zh-CN"/>
        </w:rPr>
        <w:t>15</w:t>
      </w:r>
      <w:r>
        <w:rPr>
          <w:rFonts w:hint="eastAsia" w:asciiTheme="minorEastAsia" w:hAnsiTheme="minorEastAsia"/>
          <w:sz w:val="24"/>
          <w:szCs w:val="24"/>
          <w:highlight w:val="none"/>
        </w:rPr>
        <w:t>，结束时间为</w:t>
      </w:r>
      <w:r>
        <w:rPr>
          <w:rFonts w:hint="eastAsia" w:asciiTheme="minorEastAsia" w:hAnsiTheme="minorEastAsia"/>
          <w:sz w:val="24"/>
          <w:szCs w:val="24"/>
          <w:highlight w:val="none"/>
          <w:lang w:eastAsia="zh-CN"/>
        </w:rPr>
        <w:t>2022年11月14日</w:t>
      </w:r>
      <w:r>
        <w:rPr>
          <w:rFonts w:hint="eastAsia" w:asciiTheme="minorEastAsia" w:hAnsiTheme="minorEastAsia"/>
          <w:sz w:val="24"/>
          <w:szCs w:val="24"/>
          <w:highlight w:val="none"/>
        </w:rPr>
        <w:t>15：00。</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2、股东通过互联网投票系统进行网络投票，需按照《深圳证券交易所投资者网络服务身份认证业务指引》的规定办理身份认证，取得“深交所数字证书”或“深交所投资者服务密码”。具体的身份认证流程可登录互联网投票系统http://wltp.cninfo.com.cn规则指引栏目查阅。</w:t>
      </w:r>
    </w:p>
    <w:p>
      <w:pPr>
        <w:spacing w:line="360" w:lineRule="auto"/>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3、股东根据获取的服务密码或数字证书，可登录</w:t>
      </w:r>
    </w:p>
    <w:p>
      <w:pPr>
        <w:spacing w:line="360" w:lineRule="auto"/>
        <w:ind w:firstLine="480" w:firstLineChars="200"/>
        <w:rPr>
          <w:rFonts w:hint="eastAsia" w:asciiTheme="minorEastAsia" w:hAnsiTheme="minorEastAsia"/>
          <w:sz w:val="24"/>
          <w:szCs w:val="24"/>
          <w:highlight w:val="none"/>
        </w:rPr>
        <w:sectPr>
          <w:pgSz w:w="11906" w:h="16838"/>
          <w:pgMar w:top="1440" w:right="1800" w:bottom="1440" w:left="1800" w:header="851" w:footer="992" w:gutter="0"/>
          <w:cols w:space="425" w:num="1"/>
          <w:docGrid w:type="lines" w:linePitch="312" w:charSpace="0"/>
        </w:sectPr>
      </w:pPr>
      <w:r>
        <w:rPr>
          <w:rFonts w:hint="eastAsia" w:asciiTheme="minorEastAsia" w:hAnsiTheme="minorEastAsia"/>
          <w:sz w:val="24"/>
          <w:szCs w:val="24"/>
          <w:highlight w:val="none"/>
        </w:rPr>
        <w:t>http://wltp.cninfo.com.cn在规定时间内通过深交所互联网投票系统进行投票。</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附件二：</w:t>
      </w:r>
    </w:p>
    <w:p>
      <w:pPr>
        <w:widowControl/>
        <w:snapToGrid w:val="0"/>
        <w:spacing w:after="200" w:line="440" w:lineRule="exact"/>
        <w:ind w:right="480"/>
        <w:jc w:val="center"/>
        <w:rPr>
          <w:rFonts w:ascii="宋体" w:hAnsi="宋体" w:eastAsia="宋体"/>
          <w:b/>
          <w:kern w:val="0"/>
          <w:sz w:val="28"/>
          <w:szCs w:val="28"/>
          <w:highlight w:val="none"/>
        </w:rPr>
      </w:pPr>
      <w:r>
        <w:rPr>
          <w:rFonts w:hint="eastAsia" w:ascii="宋体" w:hAnsi="宋体" w:eastAsia="宋体"/>
          <w:b/>
          <w:kern w:val="0"/>
          <w:sz w:val="28"/>
          <w:szCs w:val="28"/>
          <w:highlight w:val="none"/>
        </w:rPr>
        <w:t>授权委托书</w:t>
      </w:r>
    </w:p>
    <w:p>
      <w:pPr>
        <w:keepNext w:val="0"/>
        <w:keepLines w:val="0"/>
        <w:pageBreakBefore w:val="0"/>
        <w:widowControl w:val="0"/>
        <w:kinsoku/>
        <w:wordWrap/>
        <w:overflowPunct/>
        <w:topLinePunct w:val="0"/>
        <w:autoSpaceDE/>
        <w:autoSpaceDN/>
        <w:bidi w:val="0"/>
        <w:adjustRightInd/>
        <w:snapToGrid w:val="0"/>
        <w:spacing w:after="80" w:line="440" w:lineRule="exact"/>
        <w:ind w:firstLine="482"/>
        <w:jc w:val="left"/>
        <w:textAlignment w:val="auto"/>
        <w:rPr>
          <w:rFonts w:ascii="宋体" w:hAnsi="宋体" w:eastAsia="宋体"/>
          <w:sz w:val="24"/>
          <w:szCs w:val="24"/>
          <w:highlight w:val="none"/>
        </w:rPr>
      </w:pPr>
      <w:r>
        <w:rPr>
          <w:rFonts w:ascii="宋体" w:hAnsi="宋体" w:eastAsia="宋体"/>
          <w:sz w:val="24"/>
          <w:szCs w:val="24"/>
          <w:highlight w:val="none"/>
        </w:rPr>
        <w:t>本人委托先生（女士）代表本公司（人）出席青岛伟隆阀门股份有限公司</w:t>
      </w:r>
      <w:r>
        <w:rPr>
          <w:rFonts w:hint="eastAsia" w:ascii="宋体" w:hAnsi="宋体" w:eastAsia="宋体"/>
          <w:sz w:val="24"/>
          <w:szCs w:val="24"/>
          <w:highlight w:val="none"/>
          <w:lang w:eastAsia="zh-CN"/>
        </w:rPr>
        <w:t>2022年第四次临时</w:t>
      </w:r>
      <w:r>
        <w:rPr>
          <w:rFonts w:ascii="宋体" w:hAnsi="宋体" w:eastAsia="宋体"/>
          <w:sz w:val="24"/>
          <w:szCs w:val="24"/>
          <w:highlight w:val="none"/>
        </w:rPr>
        <w:t>股东大会，并代为行使表决权。</w:t>
      </w:r>
    </w:p>
    <w:p>
      <w:pPr>
        <w:keepNext w:val="0"/>
        <w:keepLines w:val="0"/>
        <w:pageBreakBefore w:val="0"/>
        <w:widowControl w:val="0"/>
        <w:kinsoku/>
        <w:wordWrap/>
        <w:overflowPunct/>
        <w:topLinePunct w:val="0"/>
        <w:autoSpaceDE/>
        <w:autoSpaceDN/>
        <w:bidi w:val="0"/>
        <w:adjustRightInd/>
        <w:snapToGrid w:val="0"/>
        <w:spacing w:after="80" w:line="440" w:lineRule="exact"/>
        <w:ind w:firstLine="482"/>
        <w:jc w:val="left"/>
        <w:textAlignment w:val="auto"/>
        <w:rPr>
          <w:rFonts w:ascii="宋体" w:hAnsi="宋体" w:eastAsia="宋体"/>
          <w:sz w:val="24"/>
          <w:szCs w:val="24"/>
          <w:highlight w:val="none"/>
        </w:rPr>
      </w:pPr>
      <w:r>
        <w:rPr>
          <w:rFonts w:ascii="宋体" w:hAnsi="宋体" w:eastAsia="宋体"/>
          <w:sz w:val="24"/>
          <w:szCs w:val="24"/>
          <w:highlight w:val="none"/>
        </w:rPr>
        <w:t>受托人对列入会议议程的议案按照本人的下列指示行使表决权，对于可能纳入会议议程的临时提案或其他本人未做具体指示的议案，受托人（享有、不享有）表决权，并（可以、不可以）按照自己的意思进行表决：</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888"/>
        <w:gridCol w:w="1691"/>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Merge w:val="restart"/>
            <w:vAlign w:val="center"/>
          </w:tcPr>
          <w:p>
            <w:pPr>
              <w:spacing w:line="360" w:lineRule="auto"/>
              <w:jc w:val="center"/>
              <w:rPr>
                <w:rFonts w:asciiTheme="minorEastAsia" w:hAnsiTheme="minorEastAsia"/>
                <w:b/>
                <w:sz w:val="24"/>
                <w:szCs w:val="24"/>
                <w:highlight w:val="none"/>
              </w:rPr>
            </w:pPr>
            <w:r>
              <w:rPr>
                <w:rFonts w:asciiTheme="minorEastAsia" w:hAnsiTheme="minorEastAsia"/>
                <w:b/>
                <w:sz w:val="24"/>
                <w:szCs w:val="24"/>
                <w:highlight w:val="none"/>
              </w:rPr>
              <w:t>提案编码</w:t>
            </w:r>
          </w:p>
        </w:tc>
        <w:tc>
          <w:tcPr>
            <w:tcW w:w="2888" w:type="dxa"/>
            <w:vMerge w:val="restart"/>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提案名称</w:t>
            </w:r>
          </w:p>
        </w:tc>
        <w:tc>
          <w:tcPr>
            <w:tcW w:w="1691" w:type="dxa"/>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备注</w:t>
            </w:r>
          </w:p>
        </w:tc>
        <w:tc>
          <w:tcPr>
            <w:tcW w:w="992" w:type="dxa"/>
            <w:vMerge w:val="restart"/>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同意</w:t>
            </w:r>
          </w:p>
        </w:tc>
        <w:tc>
          <w:tcPr>
            <w:tcW w:w="1134" w:type="dxa"/>
            <w:vMerge w:val="restart"/>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反对</w:t>
            </w:r>
          </w:p>
        </w:tc>
        <w:tc>
          <w:tcPr>
            <w:tcW w:w="1043" w:type="dxa"/>
            <w:vMerge w:val="restart"/>
            <w:vAlign w:val="center"/>
          </w:tcPr>
          <w:p>
            <w:pPr>
              <w:jc w:val="center"/>
              <w:rPr>
                <w:rFonts w:asciiTheme="minorEastAsia" w:hAnsiTheme="minorEastAsia"/>
                <w:b/>
                <w:sz w:val="24"/>
                <w:szCs w:val="24"/>
                <w:highlight w:val="none"/>
              </w:rPr>
            </w:pPr>
            <w:r>
              <w:rPr>
                <w:rFonts w:asciiTheme="minorEastAsia" w:hAnsiTheme="minorEastAsia"/>
                <w:b/>
                <w:sz w:val="24"/>
                <w:szCs w:val="24"/>
                <w:highlight w:val="none"/>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Merge w:val="continue"/>
          </w:tcPr>
          <w:p>
            <w:pPr>
              <w:spacing w:line="360" w:lineRule="auto"/>
              <w:rPr>
                <w:rFonts w:asciiTheme="minorEastAsia" w:hAnsiTheme="minorEastAsia"/>
                <w:b/>
                <w:sz w:val="24"/>
                <w:szCs w:val="24"/>
                <w:highlight w:val="none"/>
              </w:rPr>
            </w:pPr>
          </w:p>
        </w:tc>
        <w:tc>
          <w:tcPr>
            <w:tcW w:w="2888" w:type="dxa"/>
            <w:vMerge w:val="continue"/>
          </w:tcPr>
          <w:p>
            <w:pPr>
              <w:rPr>
                <w:rFonts w:asciiTheme="minorEastAsia" w:hAnsiTheme="minorEastAsia"/>
                <w:b/>
                <w:sz w:val="24"/>
                <w:szCs w:val="24"/>
                <w:highlight w:val="none"/>
              </w:rPr>
            </w:pPr>
          </w:p>
        </w:tc>
        <w:tc>
          <w:tcPr>
            <w:tcW w:w="1691" w:type="dxa"/>
          </w:tcPr>
          <w:p>
            <w:pPr>
              <w:rPr>
                <w:rFonts w:asciiTheme="minorEastAsia" w:hAnsiTheme="minorEastAsia"/>
                <w:b/>
                <w:sz w:val="24"/>
                <w:szCs w:val="24"/>
                <w:highlight w:val="none"/>
              </w:rPr>
            </w:pPr>
            <w:r>
              <w:rPr>
                <w:rFonts w:asciiTheme="minorEastAsia" w:hAnsiTheme="minorEastAsia"/>
                <w:b/>
                <w:sz w:val="24"/>
                <w:szCs w:val="24"/>
                <w:highlight w:val="none"/>
              </w:rPr>
              <w:t>该列打勾的栏目可以投票</w:t>
            </w:r>
          </w:p>
        </w:tc>
        <w:tc>
          <w:tcPr>
            <w:tcW w:w="992" w:type="dxa"/>
            <w:vMerge w:val="continue"/>
          </w:tcPr>
          <w:p>
            <w:pPr>
              <w:rPr>
                <w:rFonts w:asciiTheme="minorEastAsia" w:hAnsiTheme="minorEastAsia"/>
                <w:b/>
                <w:sz w:val="24"/>
                <w:szCs w:val="24"/>
                <w:highlight w:val="none"/>
              </w:rPr>
            </w:pPr>
          </w:p>
        </w:tc>
        <w:tc>
          <w:tcPr>
            <w:tcW w:w="1134" w:type="dxa"/>
            <w:vMerge w:val="continue"/>
          </w:tcPr>
          <w:p>
            <w:pPr>
              <w:rPr>
                <w:rFonts w:asciiTheme="minorEastAsia" w:hAnsiTheme="minorEastAsia"/>
                <w:b/>
                <w:sz w:val="24"/>
                <w:szCs w:val="24"/>
                <w:highlight w:val="none"/>
              </w:rPr>
            </w:pPr>
          </w:p>
        </w:tc>
        <w:tc>
          <w:tcPr>
            <w:tcW w:w="1043" w:type="dxa"/>
            <w:vMerge w:val="continue"/>
          </w:tcPr>
          <w:p>
            <w:pPr>
              <w:rPr>
                <w:rFonts w:asciiTheme="minorEastAsia" w:hAnsiTheme="minorEastAsia"/>
                <w:b/>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vAlign w:val="top"/>
          </w:tcPr>
          <w:p>
            <w:pPr>
              <w:spacing w:line="360" w:lineRule="auto"/>
              <w:jc w:val="center"/>
              <w:rPr>
                <w:highlight w:val="none"/>
              </w:rPr>
            </w:pPr>
            <w:r>
              <w:rPr>
                <w:rFonts w:asciiTheme="minorEastAsia" w:hAnsiTheme="minorEastAsia"/>
                <w:sz w:val="24"/>
                <w:szCs w:val="24"/>
                <w:highlight w:val="none"/>
              </w:rPr>
              <w:t>非累积投票议案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4" w:type="dxa"/>
            <w:vAlign w:val="center"/>
          </w:tcPr>
          <w:p>
            <w:pPr>
              <w:jc w:val="center"/>
              <w:rPr>
                <w:rFonts w:asciiTheme="minorEastAsia" w:hAnsiTheme="minorEastAsia"/>
                <w:sz w:val="24"/>
                <w:szCs w:val="24"/>
                <w:highlight w:val="none"/>
              </w:rPr>
            </w:pPr>
            <w:r>
              <w:rPr>
                <w:rFonts w:hint="eastAsia" w:asciiTheme="minorEastAsia" w:hAnsiTheme="minorEastAsia"/>
                <w:sz w:val="24"/>
                <w:szCs w:val="24"/>
                <w:highlight w:val="none"/>
              </w:rPr>
              <w:t>1.00</w:t>
            </w:r>
          </w:p>
        </w:tc>
        <w:tc>
          <w:tcPr>
            <w:tcW w:w="2888" w:type="dxa"/>
            <w:vAlign w:val="top"/>
          </w:tcPr>
          <w:p>
            <w:pPr>
              <w:spacing w:line="360" w:lineRule="auto"/>
              <w:rPr>
                <w:rFonts w:asciiTheme="minorEastAsia" w:hAnsiTheme="minorEastAsia"/>
                <w:sz w:val="24"/>
                <w:szCs w:val="24"/>
                <w:highlight w:val="none"/>
              </w:rPr>
            </w:pPr>
            <w:r>
              <w:rPr>
                <w:rFonts w:hint="eastAsia" w:asciiTheme="minorEastAsia" w:hAnsiTheme="minorEastAsia"/>
                <w:sz w:val="24"/>
                <w:szCs w:val="24"/>
                <w:highlight w:val="none"/>
              </w:rPr>
              <w:t>《</w:t>
            </w:r>
            <w:r>
              <w:rPr>
                <w:rFonts w:hint="eastAsia" w:ascii="宋体" w:hAnsi="宋体" w:eastAsia="宋体"/>
                <w:sz w:val="24"/>
                <w:szCs w:val="23"/>
                <w:highlight w:val="none"/>
              </w:rPr>
              <w:t>关于回购注销部分限制性股票的议案</w:t>
            </w:r>
            <w:r>
              <w:rPr>
                <w:rFonts w:hint="eastAsia" w:asciiTheme="minorEastAsia" w:hAnsiTheme="minorEastAsia"/>
                <w:sz w:val="24"/>
                <w:szCs w:val="24"/>
                <w:highlight w:val="none"/>
              </w:rPr>
              <w:t>》；</w:t>
            </w:r>
          </w:p>
        </w:tc>
        <w:tc>
          <w:tcPr>
            <w:tcW w:w="1691" w:type="dxa"/>
            <w:vAlign w:val="center"/>
          </w:tcPr>
          <w:p>
            <w:pPr>
              <w:jc w:val="center"/>
              <w:rPr>
                <w:rFonts w:asciiTheme="minorEastAsia" w:hAnsiTheme="minorEastAsia"/>
                <w:sz w:val="24"/>
                <w:szCs w:val="24"/>
                <w:highlight w:val="none"/>
              </w:rPr>
            </w:pPr>
            <w:r>
              <w:rPr>
                <w:rFonts w:asciiTheme="minorEastAsia" w:hAnsiTheme="minorEastAsia"/>
                <w:sz w:val="24"/>
                <w:szCs w:val="24"/>
                <w:highlight w:val="none"/>
              </w:rPr>
              <w:t>√</w:t>
            </w:r>
          </w:p>
        </w:tc>
        <w:tc>
          <w:tcPr>
            <w:tcW w:w="992" w:type="dxa"/>
          </w:tcPr>
          <w:p>
            <w:pPr>
              <w:rPr>
                <w:rFonts w:asciiTheme="minorEastAsia" w:hAnsiTheme="minorEastAsia"/>
                <w:sz w:val="24"/>
                <w:szCs w:val="24"/>
                <w:highlight w:val="none"/>
              </w:rPr>
            </w:pPr>
          </w:p>
        </w:tc>
        <w:tc>
          <w:tcPr>
            <w:tcW w:w="1134" w:type="dxa"/>
          </w:tcPr>
          <w:p>
            <w:pPr>
              <w:rPr>
                <w:rFonts w:asciiTheme="minorEastAsia" w:hAnsiTheme="minorEastAsia"/>
                <w:sz w:val="24"/>
                <w:szCs w:val="24"/>
                <w:highlight w:val="none"/>
              </w:rPr>
            </w:pPr>
          </w:p>
        </w:tc>
        <w:tc>
          <w:tcPr>
            <w:tcW w:w="1043" w:type="dxa"/>
          </w:tcPr>
          <w:p>
            <w:pPr>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highlight w:val="none"/>
              </w:rPr>
            </w:pPr>
            <w:r>
              <w:rPr>
                <w:rFonts w:hint="eastAsia" w:asciiTheme="minorEastAsia" w:hAnsiTheme="minorEastAsia"/>
                <w:sz w:val="24"/>
                <w:szCs w:val="24"/>
                <w:highlight w:val="none"/>
                <w:lang w:val="en-US" w:eastAsia="zh-CN"/>
              </w:rPr>
              <w:t>2.00</w:t>
            </w:r>
          </w:p>
        </w:tc>
        <w:tc>
          <w:tcPr>
            <w:tcW w:w="2888" w:type="dxa"/>
            <w:vAlign w:val="top"/>
          </w:tcPr>
          <w:p>
            <w:pPr>
              <w:spacing w:line="360" w:lineRule="auto"/>
              <w:rPr>
                <w:rFonts w:hint="eastAsia" w:asciiTheme="minorEastAsia" w:hAnsiTheme="minorEastAsia"/>
                <w:sz w:val="24"/>
                <w:szCs w:val="24"/>
                <w:highlight w:val="none"/>
              </w:rPr>
            </w:pPr>
            <w:r>
              <w:rPr>
                <w:rFonts w:hint="eastAsia" w:asciiTheme="minorEastAsia" w:hAnsiTheme="minorEastAsia"/>
                <w:sz w:val="24"/>
                <w:szCs w:val="24"/>
                <w:highlight w:val="none"/>
              </w:rPr>
              <w:t>《</w:t>
            </w:r>
            <w:r>
              <w:rPr>
                <w:rFonts w:hint="eastAsia" w:ascii="宋体" w:hAnsi="宋体" w:eastAsia="宋体"/>
                <w:sz w:val="24"/>
                <w:szCs w:val="23"/>
                <w:highlight w:val="none"/>
              </w:rPr>
              <w:t>关于变更公司注册资本与修改&lt;公司章程&gt;的议案》</w:t>
            </w:r>
          </w:p>
        </w:tc>
        <w:tc>
          <w:tcPr>
            <w:tcW w:w="1691" w:type="dxa"/>
            <w:vAlign w:val="center"/>
          </w:tcPr>
          <w:p>
            <w:pPr>
              <w:jc w:val="center"/>
              <w:rPr>
                <w:rFonts w:asciiTheme="minorEastAsia" w:hAnsiTheme="minorEastAsia"/>
                <w:sz w:val="24"/>
                <w:szCs w:val="24"/>
                <w:highlight w:val="none"/>
              </w:rPr>
            </w:pPr>
            <w:r>
              <w:rPr>
                <w:rFonts w:asciiTheme="minorEastAsia" w:hAnsiTheme="minorEastAsia"/>
                <w:sz w:val="24"/>
                <w:szCs w:val="24"/>
                <w:highlight w:val="none"/>
              </w:rPr>
              <w:t>√</w:t>
            </w:r>
          </w:p>
        </w:tc>
        <w:tc>
          <w:tcPr>
            <w:tcW w:w="992" w:type="dxa"/>
          </w:tcPr>
          <w:p>
            <w:pPr>
              <w:rPr>
                <w:rFonts w:asciiTheme="minorEastAsia" w:hAnsiTheme="minorEastAsia"/>
                <w:sz w:val="24"/>
                <w:szCs w:val="24"/>
                <w:highlight w:val="none"/>
              </w:rPr>
            </w:pPr>
          </w:p>
        </w:tc>
        <w:tc>
          <w:tcPr>
            <w:tcW w:w="1134" w:type="dxa"/>
          </w:tcPr>
          <w:p>
            <w:pPr>
              <w:rPr>
                <w:rFonts w:asciiTheme="minorEastAsia" w:hAnsiTheme="minorEastAsia"/>
                <w:sz w:val="24"/>
                <w:szCs w:val="24"/>
                <w:highlight w:val="none"/>
              </w:rPr>
            </w:pPr>
          </w:p>
        </w:tc>
        <w:tc>
          <w:tcPr>
            <w:tcW w:w="1043" w:type="dxa"/>
          </w:tcPr>
          <w:p>
            <w:pPr>
              <w:rPr>
                <w:rFonts w:asciiTheme="minorEastAsia" w:hAnsi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vAlign w:val="center"/>
          </w:tcPr>
          <w:p>
            <w:pPr>
              <w:pStyle w:val="16"/>
              <w:numPr>
                <w:ilvl w:val="0"/>
                <w:numId w:val="1"/>
              </w:numPr>
              <w:ind w:right="224" w:firstLine="460" w:firstLineChars="200"/>
              <w:jc w:val="both"/>
              <w:rPr>
                <w:sz w:val="23"/>
                <w:szCs w:val="23"/>
                <w:highlight w:val="none"/>
              </w:rPr>
            </w:pPr>
            <w:r>
              <w:rPr>
                <w:sz w:val="23"/>
                <w:szCs w:val="23"/>
                <w:highlight w:val="none"/>
              </w:rPr>
              <w:t>委托人对授托人的指示，以在“同意”、“反对”、“弃权”下面的方框中打“√”为准，对同一审议事项不得有两项或多项指示。其它符号的视同弃权统计。如果委托人对某一审议事项的表决意见未作具体指示或对同一审议事项有两项或多项指示的，受托人可以自行投票表决，其行使表决权的后果均由本人/本单位承担。</w:t>
            </w:r>
          </w:p>
          <w:p>
            <w:pPr>
              <w:pStyle w:val="16"/>
              <w:numPr>
                <w:ilvl w:val="0"/>
                <w:numId w:val="1"/>
              </w:numPr>
              <w:ind w:right="224" w:firstLine="460" w:firstLineChars="200"/>
              <w:jc w:val="both"/>
              <w:rPr>
                <w:sz w:val="23"/>
                <w:szCs w:val="23"/>
                <w:highlight w:val="none"/>
              </w:rPr>
            </w:pPr>
            <w:r>
              <w:rPr>
                <w:sz w:val="23"/>
                <w:szCs w:val="23"/>
                <w:highlight w:val="none"/>
              </w:rPr>
              <w:t>授权委托书剪报、复印或按以上格式自制均有效；委托人为法人的，须加盖单位公章。</w:t>
            </w:r>
          </w:p>
          <w:p>
            <w:pPr>
              <w:ind w:firstLine="460" w:firstLineChars="200"/>
              <w:rPr>
                <w:rFonts w:hint="eastAsia" w:eastAsia="宋体" w:asciiTheme="minorEastAsia" w:hAnsiTheme="minorEastAsia"/>
                <w:sz w:val="24"/>
                <w:szCs w:val="24"/>
                <w:highlight w:val="none"/>
                <w:lang w:eastAsia="zh-CN"/>
              </w:rPr>
            </w:pPr>
            <w:r>
              <w:rPr>
                <w:rFonts w:ascii="宋体" w:hAnsi="宋体" w:eastAsia="宋体"/>
                <w:color w:val="000000"/>
                <w:kern w:val="0"/>
                <w:sz w:val="23"/>
                <w:szCs w:val="23"/>
                <w:highlight w:val="none"/>
              </w:rPr>
              <w:t>3、本授权委托有效期：自委托书签署之日起至本次股东大会结束为止。</w:t>
            </w:r>
          </w:p>
        </w:tc>
      </w:tr>
    </w:tbl>
    <w:p>
      <w:pPr>
        <w:snapToGrid w:val="0"/>
        <w:spacing w:after="200" w:line="440" w:lineRule="exact"/>
        <w:ind w:firstLine="480"/>
        <w:jc w:val="left"/>
        <w:rPr>
          <w:rFonts w:hint="eastAsia" w:ascii="宋体" w:hAnsi="宋体" w:eastAsia="宋体"/>
          <w:sz w:val="24"/>
          <w:szCs w:val="24"/>
          <w:highlight w:val="none"/>
          <w:lang w:eastAsia="zh-CN"/>
        </w:rPr>
      </w:pPr>
      <w:r>
        <w:rPr>
          <w:rFonts w:ascii="宋体" w:hAnsi="宋体" w:eastAsia="宋体"/>
          <w:sz w:val="24"/>
          <w:szCs w:val="24"/>
          <w:highlight w:val="none"/>
        </w:rPr>
        <w:t>委托人姓名（签字或盖章）：</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u w:val="thick"/>
        </w:rPr>
      </w:pPr>
      <w:r>
        <w:rPr>
          <w:rFonts w:ascii="宋体" w:hAnsi="宋体" w:eastAsia="宋体"/>
          <w:sz w:val="24"/>
          <w:szCs w:val="24"/>
          <w:highlight w:val="none"/>
        </w:rPr>
        <w:t>委托人身份证号码（或营业执照号码）：</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rPr>
      </w:pPr>
      <w:r>
        <w:rPr>
          <w:rFonts w:ascii="宋体" w:hAnsi="宋体" w:eastAsia="宋体"/>
          <w:sz w:val="24"/>
          <w:szCs w:val="24"/>
          <w:highlight w:val="none"/>
        </w:rPr>
        <w:t>委托人持股数：</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rPr>
      </w:pPr>
      <w:r>
        <w:rPr>
          <w:rFonts w:ascii="宋体" w:hAnsi="宋体" w:eastAsia="宋体"/>
          <w:sz w:val="24"/>
          <w:szCs w:val="24"/>
          <w:highlight w:val="none"/>
        </w:rPr>
        <w:t>委托人股东账号：</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rPr>
      </w:pPr>
      <w:r>
        <w:rPr>
          <w:rFonts w:ascii="宋体" w:hAnsi="宋体" w:eastAsia="宋体"/>
          <w:sz w:val="24"/>
          <w:szCs w:val="24"/>
          <w:highlight w:val="none"/>
        </w:rPr>
        <w:t>受托人签名：</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rPr>
      </w:pPr>
      <w:r>
        <w:rPr>
          <w:rFonts w:ascii="宋体" w:hAnsi="宋体" w:eastAsia="宋体"/>
          <w:sz w:val="24"/>
          <w:szCs w:val="24"/>
          <w:highlight w:val="none"/>
        </w:rPr>
        <w:t>受托人身份证号码：</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80"/>
        <w:jc w:val="left"/>
        <w:rPr>
          <w:rFonts w:ascii="宋体" w:hAnsi="宋体" w:eastAsia="宋体"/>
          <w:sz w:val="24"/>
          <w:szCs w:val="24"/>
          <w:highlight w:val="none"/>
        </w:rPr>
      </w:pPr>
      <w:r>
        <w:rPr>
          <w:rFonts w:ascii="宋体" w:hAnsi="宋体" w:eastAsia="宋体"/>
          <w:sz w:val="24"/>
          <w:szCs w:val="24"/>
          <w:highlight w:val="none"/>
        </w:rPr>
        <w:t>委托日期：</w:t>
      </w:r>
      <w:r>
        <w:rPr>
          <w:rFonts w:hint="eastAsia" w:ascii="宋体" w:hAnsi="宋体" w:eastAsia="宋体"/>
          <w:sz w:val="24"/>
          <w:szCs w:val="24"/>
          <w:highlight w:val="none"/>
          <w:u w:val="single"/>
          <w:lang w:val="en-US" w:eastAsia="zh-CN"/>
        </w:rPr>
        <w:t xml:space="preserve">                                                </w:t>
      </w:r>
      <w:r>
        <w:rPr>
          <w:rFonts w:ascii="宋体" w:hAnsi="宋体" w:eastAsia="宋体"/>
          <w:sz w:val="24"/>
          <w:szCs w:val="24"/>
          <w:highlight w:val="none"/>
          <w:u w:val="single"/>
        </w:rPr>
        <w:t>.</w:t>
      </w:r>
    </w:p>
    <w:p>
      <w:pPr>
        <w:snapToGrid w:val="0"/>
        <w:spacing w:after="200" w:line="440" w:lineRule="exact"/>
        <w:ind w:firstLine="400"/>
        <w:jc w:val="left"/>
        <w:rPr>
          <w:rFonts w:ascii="宋体" w:hAnsi="宋体" w:eastAsia="宋体"/>
          <w:sz w:val="20"/>
          <w:szCs w:val="20"/>
          <w:highlight w:val="none"/>
        </w:rPr>
      </w:pPr>
      <w:r>
        <w:rPr>
          <w:rFonts w:ascii="宋体" w:hAnsi="宋体" w:eastAsia="宋体"/>
          <w:sz w:val="20"/>
          <w:szCs w:val="20"/>
          <w:highlight w:val="none"/>
        </w:rPr>
        <w:t>注：法人股东须由法人的法定代表人或书面授权人签字或盖章，并加盖法人公章。</w:t>
      </w:r>
    </w:p>
    <w:p>
      <w:pPr>
        <w:rPr>
          <w:rFonts w:ascii="宋体" w:hAnsi="宋体" w:eastAsia="宋体"/>
          <w:sz w:val="20"/>
          <w:szCs w:val="20"/>
          <w:highlight w:val="none"/>
        </w:rPr>
      </w:pPr>
      <w:r>
        <w:rPr>
          <w:rFonts w:ascii="宋体" w:hAnsi="宋体" w:eastAsia="宋体"/>
          <w:sz w:val="20"/>
          <w:szCs w:val="20"/>
          <w:highlight w:val="none"/>
        </w:rPr>
        <w:br w:type="page"/>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附件三</w:t>
      </w:r>
    </w:p>
    <w:p>
      <w:pPr>
        <w:spacing w:line="360" w:lineRule="auto"/>
        <w:ind w:firstLine="482" w:firstLineChars="200"/>
        <w:jc w:val="center"/>
        <w:rPr>
          <w:rFonts w:asciiTheme="minorEastAsia" w:hAnsiTheme="minorEastAsia"/>
          <w:b/>
          <w:bCs/>
          <w:sz w:val="24"/>
          <w:szCs w:val="24"/>
          <w:highlight w:val="none"/>
        </w:rPr>
      </w:pPr>
      <w:r>
        <w:rPr>
          <w:rFonts w:hint="eastAsia" w:asciiTheme="minorEastAsia" w:hAnsiTheme="minorEastAsia"/>
          <w:b/>
          <w:bCs/>
          <w:sz w:val="24"/>
          <w:szCs w:val="24"/>
          <w:highlight w:val="none"/>
        </w:rPr>
        <w:t>青岛伟隆阀门股份有限公司</w:t>
      </w:r>
    </w:p>
    <w:p>
      <w:pPr>
        <w:spacing w:line="360" w:lineRule="auto"/>
        <w:ind w:firstLine="482" w:firstLineChars="200"/>
        <w:jc w:val="center"/>
        <w:rPr>
          <w:rFonts w:asciiTheme="minorEastAsia" w:hAnsiTheme="minorEastAsia"/>
          <w:b/>
          <w:bCs/>
          <w:sz w:val="24"/>
          <w:szCs w:val="24"/>
          <w:highlight w:val="none"/>
        </w:rPr>
      </w:pPr>
      <w:r>
        <w:rPr>
          <w:rFonts w:hint="eastAsia" w:asciiTheme="minorEastAsia" w:hAnsiTheme="minorEastAsia"/>
          <w:b/>
          <w:bCs/>
          <w:sz w:val="24"/>
          <w:szCs w:val="24"/>
          <w:highlight w:val="none"/>
          <w:lang w:eastAsia="zh-CN"/>
        </w:rPr>
        <w:t>2022年第四次临时</w:t>
      </w:r>
      <w:r>
        <w:rPr>
          <w:rFonts w:hint="eastAsia" w:asciiTheme="minorEastAsia" w:hAnsiTheme="minorEastAsia"/>
          <w:b/>
          <w:bCs/>
          <w:sz w:val="24"/>
          <w:szCs w:val="24"/>
          <w:highlight w:val="none"/>
        </w:rPr>
        <w:t>股东大会现场会议参会股东登记表</w:t>
      </w:r>
    </w:p>
    <w:tbl>
      <w:tblPr>
        <w:tblStyle w:val="9"/>
        <w:tblW w:w="8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7"/>
        <w:gridCol w:w="4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姓名或名称</w:t>
            </w:r>
            <w:r>
              <w:rPr>
                <w:rFonts w:hint="eastAsia" w:asciiTheme="minorEastAsia" w:hAnsiTheme="minorEastAsia"/>
                <w:sz w:val="24"/>
                <w:szCs w:val="24"/>
                <w:highlight w:val="none"/>
              </w:rPr>
              <w:t>：</w:t>
            </w:r>
          </w:p>
        </w:tc>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身份证或营业执照号码</w:t>
            </w:r>
            <w:r>
              <w:rPr>
                <w:rFonts w:hint="eastAsia" w:asciiTheme="minorEastAsia" w:hAnsiTheme="minorEastAsia"/>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股东账号</w:t>
            </w:r>
            <w:r>
              <w:rPr>
                <w:rFonts w:hint="eastAsia" w:asciiTheme="minorEastAsia" w:hAnsiTheme="minorEastAsia"/>
                <w:sz w:val="24"/>
                <w:szCs w:val="24"/>
                <w:highlight w:val="none"/>
              </w:rPr>
              <w:t>：</w:t>
            </w:r>
          </w:p>
        </w:tc>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持股数量</w:t>
            </w:r>
            <w:r>
              <w:rPr>
                <w:rFonts w:hint="eastAsia" w:asciiTheme="minorEastAsia" w:hAnsiTheme="minorEastAsia"/>
                <w:sz w:val="24"/>
                <w:szCs w:val="24"/>
                <w:highlight w:val="none"/>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联系电话</w:t>
            </w:r>
            <w:r>
              <w:rPr>
                <w:rFonts w:hint="eastAsia" w:asciiTheme="minorEastAsia" w:hAnsiTheme="minorEastAsia"/>
                <w:sz w:val="24"/>
                <w:szCs w:val="24"/>
                <w:highlight w:val="none"/>
              </w:rPr>
              <w:t>：</w:t>
            </w:r>
          </w:p>
        </w:tc>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电子邮箱</w:t>
            </w:r>
            <w:r>
              <w:rPr>
                <w:rFonts w:hint="eastAsia" w:asciiTheme="minorEastAsia" w:hAnsiTheme="minorEastAsia"/>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联系地址</w:t>
            </w:r>
            <w:r>
              <w:rPr>
                <w:rFonts w:hint="eastAsia" w:asciiTheme="minorEastAsia" w:hAnsiTheme="minorEastAsia"/>
                <w:sz w:val="24"/>
                <w:szCs w:val="24"/>
                <w:highlight w:val="none"/>
              </w:rPr>
              <w:t>：</w:t>
            </w:r>
          </w:p>
        </w:tc>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邮编</w:t>
            </w:r>
            <w:r>
              <w:rPr>
                <w:rFonts w:hint="eastAsia" w:asciiTheme="minorEastAsia" w:hAnsiTheme="minorEastAsia"/>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是否本人参会</w:t>
            </w:r>
            <w:r>
              <w:rPr>
                <w:rFonts w:hint="eastAsia" w:asciiTheme="minorEastAsia" w:hAnsiTheme="minorEastAsia"/>
                <w:sz w:val="24"/>
                <w:szCs w:val="24"/>
                <w:highlight w:val="none"/>
              </w:rPr>
              <w:t>：</w:t>
            </w:r>
          </w:p>
        </w:tc>
        <w:tc>
          <w:tcPr>
            <w:tcW w:w="4357" w:type="dxa"/>
            <w:vAlign w:val="center"/>
          </w:tcPr>
          <w:p>
            <w:pPr>
              <w:spacing w:line="360" w:lineRule="auto"/>
              <w:rPr>
                <w:rFonts w:asciiTheme="minorEastAsia" w:hAnsiTheme="minorEastAsia"/>
                <w:sz w:val="24"/>
                <w:szCs w:val="24"/>
                <w:highlight w:val="none"/>
              </w:rPr>
            </w:pPr>
            <w:r>
              <w:rPr>
                <w:rFonts w:asciiTheme="minorEastAsia" w:hAnsiTheme="minorEastAsia"/>
                <w:sz w:val="24"/>
                <w:szCs w:val="24"/>
                <w:highlight w:val="none"/>
              </w:rPr>
              <w:t>备注</w:t>
            </w:r>
            <w:r>
              <w:rPr>
                <w:rFonts w:hint="eastAsia" w:asciiTheme="minorEastAsia" w:hAnsiTheme="minorEastAsia"/>
                <w:sz w:val="24"/>
                <w:szCs w:val="24"/>
                <w:highlight w:val="none"/>
              </w:rPr>
              <w:t>：</w:t>
            </w:r>
          </w:p>
        </w:tc>
      </w:tr>
    </w:tbl>
    <w:p>
      <w:pPr>
        <w:spacing w:line="360" w:lineRule="auto"/>
        <w:ind w:firstLine="480" w:firstLineChars="200"/>
        <w:rPr>
          <w:rFonts w:asciiTheme="minorEastAsia" w:hAnsiTheme="minorEastAsia"/>
          <w:sz w:val="24"/>
          <w:szCs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left"/>
      <w:rPr>
        <w:rFonts w:hint="eastAsia" w:eastAsiaTheme="minor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827E85"/>
    <w:multiLevelType w:val="singleLevel"/>
    <w:tmpl w:val="6E827E8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RiYWIwNzkzYTg0MzhhYmIxYTgwNmNhNDYxODQzNjMifQ=="/>
  </w:docVars>
  <w:rsids>
    <w:rsidRoot w:val="001B5061"/>
    <w:rsid w:val="000E7452"/>
    <w:rsid w:val="00114899"/>
    <w:rsid w:val="00155B1A"/>
    <w:rsid w:val="001A3C31"/>
    <w:rsid w:val="001B5061"/>
    <w:rsid w:val="002243DB"/>
    <w:rsid w:val="0024280E"/>
    <w:rsid w:val="00246172"/>
    <w:rsid w:val="00282E36"/>
    <w:rsid w:val="002B42C9"/>
    <w:rsid w:val="002E06BB"/>
    <w:rsid w:val="00303C80"/>
    <w:rsid w:val="00310B53"/>
    <w:rsid w:val="00331E51"/>
    <w:rsid w:val="00333589"/>
    <w:rsid w:val="003479E5"/>
    <w:rsid w:val="003628FE"/>
    <w:rsid w:val="00370925"/>
    <w:rsid w:val="00385BF0"/>
    <w:rsid w:val="003A458D"/>
    <w:rsid w:val="003B20DA"/>
    <w:rsid w:val="003D79FF"/>
    <w:rsid w:val="003E240B"/>
    <w:rsid w:val="003E7B79"/>
    <w:rsid w:val="00402E77"/>
    <w:rsid w:val="0044414C"/>
    <w:rsid w:val="00464B0E"/>
    <w:rsid w:val="004F3830"/>
    <w:rsid w:val="00522002"/>
    <w:rsid w:val="00526FFA"/>
    <w:rsid w:val="00535F9A"/>
    <w:rsid w:val="00547327"/>
    <w:rsid w:val="00550808"/>
    <w:rsid w:val="00573B44"/>
    <w:rsid w:val="0057585C"/>
    <w:rsid w:val="00577A4B"/>
    <w:rsid w:val="005811F3"/>
    <w:rsid w:val="005A2681"/>
    <w:rsid w:val="005B0077"/>
    <w:rsid w:val="005C45B5"/>
    <w:rsid w:val="00616018"/>
    <w:rsid w:val="0062392D"/>
    <w:rsid w:val="006515F9"/>
    <w:rsid w:val="0067101C"/>
    <w:rsid w:val="0068483F"/>
    <w:rsid w:val="006E6BB7"/>
    <w:rsid w:val="006F2388"/>
    <w:rsid w:val="00711E49"/>
    <w:rsid w:val="007179C8"/>
    <w:rsid w:val="007267F4"/>
    <w:rsid w:val="00731AA0"/>
    <w:rsid w:val="00745F0D"/>
    <w:rsid w:val="00752ED6"/>
    <w:rsid w:val="0075662F"/>
    <w:rsid w:val="00770B5C"/>
    <w:rsid w:val="00796628"/>
    <w:rsid w:val="00796C3A"/>
    <w:rsid w:val="007A56FE"/>
    <w:rsid w:val="007E5C6A"/>
    <w:rsid w:val="00800D52"/>
    <w:rsid w:val="008473CB"/>
    <w:rsid w:val="00867733"/>
    <w:rsid w:val="00883857"/>
    <w:rsid w:val="00894AE0"/>
    <w:rsid w:val="00894ED2"/>
    <w:rsid w:val="008B0672"/>
    <w:rsid w:val="008B68D9"/>
    <w:rsid w:val="00945707"/>
    <w:rsid w:val="00961941"/>
    <w:rsid w:val="009668D2"/>
    <w:rsid w:val="00995BDE"/>
    <w:rsid w:val="009B4BD7"/>
    <w:rsid w:val="009B78DB"/>
    <w:rsid w:val="009F0C59"/>
    <w:rsid w:val="009F23F5"/>
    <w:rsid w:val="00A05501"/>
    <w:rsid w:val="00A70CD1"/>
    <w:rsid w:val="00AA7632"/>
    <w:rsid w:val="00AD4F96"/>
    <w:rsid w:val="00AF7877"/>
    <w:rsid w:val="00B2270C"/>
    <w:rsid w:val="00B316E2"/>
    <w:rsid w:val="00B77F0B"/>
    <w:rsid w:val="00BA4DB5"/>
    <w:rsid w:val="00BC2278"/>
    <w:rsid w:val="00BF72CF"/>
    <w:rsid w:val="00C12893"/>
    <w:rsid w:val="00C65D7E"/>
    <w:rsid w:val="00CC584E"/>
    <w:rsid w:val="00CF70BC"/>
    <w:rsid w:val="00D10FEC"/>
    <w:rsid w:val="00D15081"/>
    <w:rsid w:val="00D36E55"/>
    <w:rsid w:val="00D44E8C"/>
    <w:rsid w:val="00D9136F"/>
    <w:rsid w:val="00D96870"/>
    <w:rsid w:val="00DB046D"/>
    <w:rsid w:val="00DB3778"/>
    <w:rsid w:val="00E619DC"/>
    <w:rsid w:val="00EF3262"/>
    <w:rsid w:val="00F14EA8"/>
    <w:rsid w:val="00F250A6"/>
    <w:rsid w:val="00F71FF3"/>
    <w:rsid w:val="00FD0914"/>
    <w:rsid w:val="00FF17FE"/>
    <w:rsid w:val="01536744"/>
    <w:rsid w:val="01C901A1"/>
    <w:rsid w:val="04310280"/>
    <w:rsid w:val="04DE0A7C"/>
    <w:rsid w:val="05243941"/>
    <w:rsid w:val="0692239F"/>
    <w:rsid w:val="078E60B0"/>
    <w:rsid w:val="0B641412"/>
    <w:rsid w:val="0C9F0068"/>
    <w:rsid w:val="0DC2772E"/>
    <w:rsid w:val="100625C1"/>
    <w:rsid w:val="11346136"/>
    <w:rsid w:val="14B720DC"/>
    <w:rsid w:val="14EA24B1"/>
    <w:rsid w:val="190D676E"/>
    <w:rsid w:val="19BA0982"/>
    <w:rsid w:val="1A3E68F9"/>
    <w:rsid w:val="1B9F4B59"/>
    <w:rsid w:val="1E2C2AE4"/>
    <w:rsid w:val="207F545C"/>
    <w:rsid w:val="20C95670"/>
    <w:rsid w:val="22F83FEB"/>
    <w:rsid w:val="23DA65EE"/>
    <w:rsid w:val="278840B9"/>
    <w:rsid w:val="29B85D70"/>
    <w:rsid w:val="29FF6145"/>
    <w:rsid w:val="2AB85954"/>
    <w:rsid w:val="2DEC6FB2"/>
    <w:rsid w:val="30A86F6B"/>
    <w:rsid w:val="31CC2699"/>
    <w:rsid w:val="326B3DF4"/>
    <w:rsid w:val="33C1781F"/>
    <w:rsid w:val="34384913"/>
    <w:rsid w:val="3A672EAF"/>
    <w:rsid w:val="3ADC48A5"/>
    <w:rsid w:val="3B9A0AE5"/>
    <w:rsid w:val="3D7B244D"/>
    <w:rsid w:val="3F9F261C"/>
    <w:rsid w:val="413254D7"/>
    <w:rsid w:val="41A73354"/>
    <w:rsid w:val="447C2876"/>
    <w:rsid w:val="456D0411"/>
    <w:rsid w:val="48915DBF"/>
    <w:rsid w:val="49AF19AB"/>
    <w:rsid w:val="4C1B13CB"/>
    <w:rsid w:val="4F3F445D"/>
    <w:rsid w:val="5120073C"/>
    <w:rsid w:val="518B495D"/>
    <w:rsid w:val="52305227"/>
    <w:rsid w:val="53373E0C"/>
    <w:rsid w:val="53A87C9E"/>
    <w:rsid w:val="541B0891"/>
    <w:rsid w:val="56421C87"/>
    <w:rsid w:val="5687357E"/>
    <w:rsid w:val="5DE769AD"/>
    <w:rsid w:val="5F8F7416"/>
    <w:rsid w:val="61CF3ABC"/>
    <w:rsid w:val="62E21FE6"/>
    <w:rsid w:val="651C27F5"/>
    <w:rsid w:val="676618E7"/>
    <w:rsid w:val="67DD4140"/>
    <w:rsid w:val="681A3FD0"/>
    <w:rsid w:val="68FB5BB0"/>
    <w:rsid w:val="69C42446"/>
    <w:rsid w:val="6B6B7D73"/>
    <w:rsid w:val="6BD5744B"/>
    <w:rsid w:val="6D646B50"/>
    <w:rsid w:val="6E155A2E"/>
    <w:rsid w:val="6ECC5C6E"/>
    <w:rsid w:val="75DF4163"/>
    <w:rsid w:val="76C26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5"/>
    <w:qFormat/>
    <w:uiPriority w:val="10"/>
    <w:pPr>
      <w:spacing w:before="240" w:after="60"/>
      <w:jc w:val="center"/>
      <w:outlineLvl w:val="0"/>
    </w:pPr>
    <w:rPr>
      <w:rFonts w:eastAsia="宋体" w:asciiTheme="majorHAnsi" w:hAnsiTheme="majorHAnsi" w:cstheme="majorBidi"/>
      <w:b/>
      <w:bCs/>
      <w:sz w:val="32"/>
      <w:szCs w:val="32"/>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character" w:customStyle="1" w:styleId="15">
    <w:name w:val="标题 Char"/>
    <w:basedOn w:val="10"/>
    <w:link w:val="6"/>
    <w:qFormat/>
    <w:uiPriority w:val="10"/>
    <w:rPr>
      <w:rFonts w:eastAsia="宋体" w:asciiTheme="majorHAnsi" w:hAnsiTheme="majorHAnsi" w:cstheme="majorBidi"/>
      <w:b/>
      <w:bCs/>
      <w:sz w:val="32"/>
      <w:szCs w:val="32"/>
    </w:rPr>
  </w:style>
  <w:style w:type="paragraph" w:customStyle="1" w:styleId="16">
    <w:name w:val="Default"/>
    <w:qFormat/>
    <w:uiPriority w:val="0"/>
    <w:pPr>
      <w:autoSpaceDE w:val="0"/>
      <w:autoSpaceDN w:val="0"/>
    </w:pPr>
    <w:rPr>
      <w:rFonts w:ascii="宋体" w:hAnsi="宋体" w:eastAsia="宋体" w:cstheme="minorBidi"/>
      <w:color w:val="000000"/>
      <w:sz w:val="24"/>
      <w:szCs w:val="24"/>
      <w:lang w:val="en-US" w:eastAsia="zh-CN" w:bidi="ar-SA"/>
    </w:rPr>
  </w:style>
  <w:style w:type="character" w:customStyle="1" w:styleId="17">
    <w:name w:val="批注文字 Char"/>
    <w:basedOn w:val="10"/>
    <w:link w:val="2"/>
    <w:semiHidden/>
    <w:qFormat/>
    <w:uiPriority w:val="99"/>
    <w:rPr>
      <w:rFonts w:asciiTheme="minorHAnsi" w:hAnsiTheme="minorHAnsi" w:eastAsiaTheme="minorEastAsia" w:cstheme="minorBidi"/>
      <w:kern w:val="2"/>
      <w:sz w:val="21"/>
      <w:szCs w:val="22"/>
    </w:rPr>
  </w:style>
  <w:style w:type="character" w:customStyle="1" w:styleId="18">
    <w:name w:val="批注主题 Char"/>
    <w:basedOn w:val="17"/>
    <w:link w:val="7"/>
    <w:semiHidden/>
    <w:qFormat/>
    <w:uiPriority w:val="99"/>
    <w:rPr>
      <w:b/>
      <w:bCs/>
    </w:rPr>
  </w:style>
  <w:style w:type="character" w:customStyle="1" w:styleId="19">
    <w:name w:val="批注框文本 Char"/>
    <w:basedOn w:val="10"/>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3207</Words>
  <Characters>3532</Characters>
  <Lines>32</Lines>
  <Paragraphs>9</Paragraphs>
  <TotalTime>0</TotalTime>
  <ScaleCrop>false</ScaleCrop>
  <LinksUpToDate>false</LinksUpToDate>
  <CharactersWithSpaces>3832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2018-08-07T03:24:00Z</dcterms:created>
  <dc:creator>wangzhi</dc:creator>
  <cp:lastModifiedBy>Mr.翔</cp:lastModifiedBy>
  <dcterms:modified xsi:type="dcterms:W3CDTF">2022-10-24T07:01:02Z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DC63111F1C62409C8D2EAEEF165B4EBF</vt:lpwstr>
  </property>
</Properties>
</file>